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58C2CD" w14:textId="1D836A98" w:rsidR="00146E2F" w:rsidRPr="00CE190E" w:rsidRDefault="00EC323D" w:rsidP="002F08CC">
      <w:pPr>
        <w:widowControl/>
        <w:tabs>
          <w:tab w:val="left" w:pos="2304"/>
        </w:tabs>
        <w:rPr>
          <w:rFonts w:ascii="Arial" w:hAnsi="Arial" w:cs="Arial"/>
          <w:b/>
          <w:u w:val="single"/>
        </w:rPr>
      </w:pPr>
      <w:bookmarkStart w:id="0" w:name="OLE_LINK1"/>
      <w:bookmarkStart w:id="1" w:name="OLE_LINK2"/>
      <w:r w:rsidRPr="00CE190E">
        <w:rPr>
          <w:rFonts w:ascii="Arial" w:hAnsi="Arial" w:cs="Arial"/>
          <w:b/>
          <w:u w:val="single"/>
        </w:rPr>
        <w:t>AAA Professionalism</w:t>
      </w:r>
    </w:p>
    <w:p w14:paraId="71FCEA5C" w14:textId="77777777" w:rsidR="00146E2F" w:rsidRPr="00CE190E" w:rsidRDefault="00146E2F" w:rsidP="002F08CC">
      <w:pPr>
        <w:widowControl/>
        <w:tabs>
          <w:tab w:val="left" w:pos="2304"/>
        </w:tabs>
        <w:rPr>
          <w:rFonts w:ascii="Arial" w:hAnsi="Arial" w:cs="Arial"/>
          <w:b/>
        </w:rPr>
      </w:pPr>
    </w:p>
    <w:p w14:paraId="56498AFC" w14:textId="77777777" w:rsidR="00252850" w:rsidRDefault="00252850" w:rsidP="00252850">
      <w:pPr>
        <w:rPr>
          <w:rFonts w:ascii="Arial" w:hAnsi="Arial" w:cs="Arial"/>
          <w:b/>
          <w:bCs/>
        </w:rPr>
      </w:pPr>
      <w:r w:rsidRPr="00252850">
        <w:rPr>
          <w:rFonts w:ascii="Arial" w:hAnsi="Arial" w:cs="Arial"/>
          <w:b/>
          <w:bCs/>
        </w:rPr>
        <w:t>Kenneth A. Kent, MAAA, FSA, FCA, EA, Immediate Past President, American Academy of Actuaries</w:t>
      </w:r>
    </w:p>
    <w:p w14:paraId="6119E748" w14:textId="77777777" w:rsidR="00252850" w:rsidRPr="00252850" w:rsidRDefault="00252850" w:rsidP="00252850">
      <w:pPr>
        <w:rPr>
          <w:rFonts w:ascii="Arial" w:hAnsi="Arial" w:cs="Arial"/>
        </w:rPr>
      </w:pPr>
    </w:p>
    <w:p w14:paraId="5E65DC02" w14:textId="00E6F88D" w:rsidR="00252850" w:rsidRPr="00252850" w:rsidRDefault="00252850" w:rsidP="001F651D">
      <w:pPr>
        <w:tabs>
          <w:tab w:val="left" w:pos="900"/>
        </w:tabs>
        <w:ind w:left="810"/>
        <w:rPr>
          <w:rFonts w:ascii="Arial" w:hAnsi="Arial" w:cs="Arial"/>
        </w:rPr>
      </w:pPr>
      <w:r w:rsidRPr="00252850">
        <w:rPr>
          <w:rFonts w:ascii="Arial" w:hAnsi="Arial" w:cs="Arial"/>
        </w:rPr>
        <w:t xml:space="preserve">Ken Kent served as President of the American Academy of Actuaries in 2022-23 and is a member of the Academy’s Council on Professionalism and Education. Ken served as a member of the Actuarial Board for Counseling and Discipline (2018-21). At the Academy he has served as vice president, pension (2003-05); vice president, professionalism (2014-16); chairperson of the Para-Actuary Task Force (2014-16); chairperson of the Public Plans Subcommittee (2008-11); chairperson of the Joint Committee on the Code of Professional Conduct; and has been a member of many other committees and task forces, including the Critical Review of U.S. Actuarial Profession. Ken is also a past president of the Conference of Consulting Actuaries. He is a consulting actuary with Cheiron, with more than three decades of professional, managerial, and public service experience working on retirement plan assignments and public policy issues. </w:t>
      </w:r>
    </w:p>
    <w:p w14:paraId="7DAA180E" w14:textId="77777777" w:rsidR="002F08CC" w:rsidRPr="00252850" w:rsidRDefault="002F08CC" w:rsidP="002F08CC">
      <w:pPr>
        <w:widowControl/>
        <w:tabs>
          <w:tab w:val="left" w:pos="2304"/>
        </w:tabs>
        <w:rPr>
          <w:rFonts w:ascii="Arial" w:hAnsi="Arial" w:cs="Arial"/>
          <w:b/>
        </w:rPr>
      </w:pPr>
    </w:p>
    <w:p w14:paraId="084B7661" w14:textId="77777777" w:rsidR="00714EC9" w:rsidRDefault="00EC323D" w:rsidP="00714EC9">
      <w:pPr>
        <w:pStyle w:val="NormalWeb"/>
      </w:pPr>
      <w:r w:rsidRPr="00714EC9">
        <w:rPr>
          <w:rFonts w:ascii="Arial" w:hAnsi="Arial" w:cs="Arial"/>
          <w:b/>
          <w:sz w:val="20"/>
          <w:szCs w:val="20"/>
        </w:rPr>
        <w:t xml:space="preserve">Melissa </w:t>
      </w:r>
      <w:proofErr w:type="spellStart"/>
      <w:r w:rsidRPr="00714EC9">
        <w:rPr>
          <w:rFonts w:ascii="Arial" w:hAnsi="Arial" w:cs="Arial"/>
          <w:b/>
          <w:sz w:val="20"/>
          <w:szCs w:val="20"/>
        </w:rPr>
        <w:t>Zrelack</w:t>
      </w:r>
      <w:proofErr w:type="spellEnd"/>
      <w:r w:rsidR="00714EC9" w:rsidRPr="00714EC9">
        <w:rPr>
          <w:rFonts w:ascii="Arial" w:hAnsi="Arial" w:cs="Arial"/>
          <w:b/>
          <w:bCs/>
          <w:sz w:val="20"/>
          <w:szCs w:val="20"/>
        </w:rPr>
        <w:t>, MAAA, EA, FCA</w:t>
      </w:r>
    </w:p>
    <w:p w14:paraId="6F829105" w14:textId="5209237B" w:rsidR="00714EC9" w:rsidRPr="00714EC9" w:rsidRDefault="00714EC9" w:rsidP="00714EC9">
      <w:pPr>
        <w:pStyle w:val="NormalWeb"/>
        <w:ind w:left="810"/>
        <w:rPr>
          <w:rFonts w:ascii="Arial" w:hAnsi="Arial" w:cs="Arial"/>
          <w:sz w:val="20"/>
          <w:szCs w:val="20"/>
        </w:rPr>
      </w:pPr>
      <w:r w:rsidRPr="00714EC9">
        <w:rPr>
          <w:rFonts w:ascii="Arial" w:hAnsi="Arial" w:cs="Arial"/>
          <w:sz w:val="20"/>
          <w:szCs w:val="20"/>
        </w:rPr>
        <w:t xml:space="preserve">Melissa </w:t>
      </w:r>
      <w:proofErr w:type="spellStart"/>
      <w:r w:rsidRPr="00714EC9">
        <w:rPr>
          <w:rFonts w:ascii="Arial" w:hAnsi="Arial" w:cs="Arial"/>
          <w:sz w:val="20"/>
          <w:szCs w:val="20"/>
        </w:rPr>
        <w:t>Zrelack</w:t>
      </w:r>
      <w:proofErr w:type="spellEnd"/>
      <w:r w:rsidRPr="00714EC9">
        <w:rPr>
          <w:rFonts w:ascii="Arial" w:hAnsi="Arial" w:cs="Arial"/>
          <w:sz w:val="20"/>
          <w:szCs w:val="20"/>
        </w:rPr>
        <w:t xml:space="preserve"> is a longtime volunteer with the American Academy of Actuaries, currently serving on the Committee on Professional Responsibility. She is a consultant located in GRS’ Fort Lauderdale, Fla., office, with 25 years of actuarial and consulting experience with employee retirement systems and retiree health care programs, primarily for municipal retirement systems covering general and public safety employees.</w:t>
      </w:r>
    </w:p>
    <w:p w14:paraId="1C410D63" w14:textId="77777777" w:rsidR="00146E2F" w:rsidRPr="00CE190E" w:rsidRDefault="00146E2F" w:rsidP="00146E2F">
      <w:pPr>
        <w:pStyle w:val="NormalWeb"/>
        <w:spacing w:before="0" w:beforeAutospacing="0" w:after="0" w:afterAutospacing="0"/>
        <w:jc w:val="both"/>
        <w:rPr>
          <w:rFonts w:ascii="Arial" w:hAnsi="Arial" w:cs="Arial"/>
          <w:sz w:val="20"/>
          <w:szCs w:val="20"/>
        </w:rPr>
      </w:pPr>
    </w:p>
    <w:p w14:paraId="33425C28" w14:textId="77777777" w:rsidR="00507FF3" w:rsidRPr="00CE190E" w:rsidRDefault="00507FF3" w:rsidP="00507FF3">
      <w:pPr>
        <w:widowControl/>
        <w:tabs>
          <w:tab w:val="left" w:pos="2304"/>
        </w:tabs>
        <w:ind w:left="720"/>
        <w:rPr>
          <w:rFonts w:ascii="Arial" w:hAnsi="Arial" w:cs="Arial"/>
          <w:b/>
          <w:bCs/>
          <w:u w:val="single"/>
        </w:rPr>
      </w:pPr>
    </w:p>
    <w:p w14:paraId="11BF768C" w14:textId="77777777" w:rsidR="00146E2F" w:rsidRPr="00CE190E" w:rsidRDefault="00146E2F" w:rsidP="00F75290">
      <w:pPr>
        <w:widowControl/>
        <w:tabs>
          <w:tab w:val="left" w:pos="2304"/>
        </w:tabs>
        <w:rPr>
          <w:rFonts w:ascii="Arial" w:hAnsi="Arial" w:cs="Arial"/>
          <w:b/>
          <w:bCs/>
          <w:u w:val="single"/>
        </w:rPr>
      </w:pPr>
    </w:p>
    <w:bookmarkEnd w:id="0"/>
    <w:bookmarkEnd w:id="1"/>
    <w:p w14:paraId="01C0EBFC" w14:textId="77777777" w:rsidR="0026460E" w:rsidRPr="00CE190E" w:rsidRDefault="0026460E" w:rsidP="0026460E">
      <w:pPr>
        <w:rPr>
          <w:rFonts w:ascii="Arial" w:hAnsi="Arial" w:cs="Arial"/>
          <w:b/>
          <w:bCs/>
          <w:u w:val="single"/>
        </w:rPr>
      </w:pPr>
      <w:r w:rsidRPr="00CE190E">
        <w:rPr>
          <w:rFonts w:ascii="Arial" w:hAnsi="Arial" w:cs="Arial"/>
          <w:b/>
          <w:bCs/>
          <w:u w:val="single"/>
        </w:rPr>
        <w:t>Predictive Analytics: The Convergence of Data Science and Actuarial Practice</w:t>
      </w:r>
    </w:p>
    <w:p w14:paraId="2CDD39D2" w14:textId="77777777" w:rsidR="00146E2F" w:rsidRPr="00CE190E" w:rsidRDefault="00146E2F" w:rsidP="003E009F">
      <w:pPr>
        <w:widowControl/>
        <w:tabs>
          <w:tab w:val="left" w:pos="2304"/>
        </w:tabs>
        <w:rPr>
          <w:rFonts w:ascii="Arial" w:hAnsi="Arial" w:cs="Arial"/>
          <w:b/>
        </w:rPr>
      </w:pPr>
    </w:p>
    <w:p w14:paraId="28B0059D" w14:textId="77777777" w:rsidR="00507FF3" w:rsidRPr="00CE190E" w:rsidRDefault="00507FF3" w:rsidP="003E009F">
      <w:pPr>
        <w:widowControl/>
        <w:tabs>
          <w:tab w:val="left" w:pos="2304"/>
        </w:tabs>
        <w:rPr>
          <w:rFonts w:ascii="Arial" w:hAnsi="Arial" w:cs="Arial"/>
          <w:b/>
        </w:rPr>
      </w:pPr>
    </w:p>
    <w:p w14:paraId="7AF8192B" w14:textId="08062F55" w:rsidR="00507FF3" w:rsidRPr="00CE190E" w:rsidRDefault="0026460E" w:rsidP="003E009F">
      <w:pPr>
        <w:widowControl/>
        <w:tabs>
          <w:tab w:val="left" w:pos="2304"/>
        </w:tabs>
        <w:rPr>
          <w:rFonts w:ascii="Arial" w:hAnsi="Arial" w:cs="Arial"/>
          <w:b/>
        </w:rPr>
      </w:pPr>
      <w:r w:rsidRPr="00CE190E">
        <w:rPr>
          <w:rFonts w:ascii="Arial" w:hAnsi="Arial" w:cs="Arial"/>
          <w:b/>
        </w:rPr>
        <w:t>Justin Fountain, WTW</w:t>
      </w:r>
    </w:p>
    <w:p w14:paraId="7AD680B1" w14:textId="77777777" w:rsidR="00507FF3" w:rsidRPr="00CE190E" w:rsidRDefault="00507FF3" w:rsidP="003E009F">
      <w:pPr>
        <w:widowControl/>
        <w:tabs>
          <w:tab w:val="left" w:pos="2304"/>
        </w:tabs>
        <w:rPr>
          <w:rFonts w:ascii="Arial" w:hAnsi="Arial" w:cs="Arial"/>
          <w:b/>
        </w:rPr>
      </w:pPr>
    </w:p>
    <w:p w14:paraId="75ECCA25" w14:textId="77777777" w:rsidR="00CE190E" w:rsidRPr="00CE190E" w:rsidRDefault="00CE190E" w:rsidP="00CE190E">
      <w:pPr>
        <w:ind w:left="810"/>
        <w:rPr>
          <w:rFonts w:ascii="Arial" w:hAnsi="Arial" w:cs="Arial"/>
        </w:rPr>
      </w:pPr>
      <w:r w:rsidRPr="00CE190E">
        <w:rPr>
          <w:rFonts w:ascii="Arial" w:hAnsi="Arial" w:cs="Arial"/>
        </w:rPr>
        <w:t xml:space="preserve">Justin Fountain, ASA, MAAA, a Manager at WTW, is based out of the Atlanta office. He has been with the firm since 2011. He has assisted clients across a range of life product focused issues. His areas of expertise include experience studies, assumption setting, predictive modeling and process improvement. Prior to joining WTW, Justin was a software developer focused on financial reporting, director compensation and other cost </w:t>
      </w:r>
      <w:proofErr w:type="gramStart"/>
      <w:r w:rsidRPr="00CE190E">
        <w:rPr>
          <w:rFonts w:ascii="Arial" w:hAnsi="Arial" w:cs="Arial"/>
        </w:rPr>
        <w:t>trend</w:t>
      </w:r>
      <w:proofErr w:type="gramEnd"/>
      <w:r w:rsidRPr="00CE190E">
        <w:rPr>
          <w:rFonts w:ascii="Arial" w:hAnsi="Arial" w:cs="Arial"/>
        </w:rPr>
        <w:t xml:space="preserve"> and customer sentiment analyses. He received a Bachelor of Science degree with concentration in Actuarial Science from Kennesaw State University. Justin is an Associate of the Society of Actuaries and a Member of the American Academy of Actuaries.</w:t>
      </w:r>
    </w:p>
    <w:p w14:paraId="1F66ADF6" w14:textId="77777777" w:rsidR="00146E2F" w:rsidRPr="00CE190E" w:rsidRDefault="00146E2F" w:rsidP="00CE190E">
      <w:pPr>
        <w:widowControl/>
        <w:tabs>
          <w:tab w:val="left" w:pos="2304"/>
        </w:tabs>
        <w:ind w:left="810"/>
        <w:rPr>
          <w:rFonts w:ascii="Arial" w:hAnsi="Arial" w:cs="Arial"/>
          <w:b/>
        </w:rPr>
      </w:pPr>
    </w:p>
    <w:p w14:paraId="44466481" w14:textId="77777777" w:rsidR="00CE190E" w:rsidRDefault="00CE190E" w:rsidP="00CE190E">
      <w:pPr>
        <w:widowControl/>
        <w:tabs>
          <w:tab w:val="left" w:pos="2304"/>
        </w:tabs>
        <w:rPr>
          <w:rFonts w:ascii="Arial" w:hAnsi="Arial" w:cs="Arial"/>
          <w:b/>
          <w:iCs/>
          <w:u w:val="single"/>
        </w:rPr>
      </w:pPr>
    </w:p>
    <w:p w14:paraId="63A32DF2" w14:textId="2AEF957B" w:rsidR="00CE190E" w:rsidRPr="00CE190E" w:rsidRDefault="00CE190E" w:rsidP="00CE190E">
      <w:pPr>
        <w:widowControl/>
        <w:tabs>
          <w:tab w:val="left" w:pos="2304"/>
        </w:tabs>
        <w:rPr>
          <w:rFonts w:ascii="Arial" w:hAnsi="Arial" w:cs="Arial"/>
          <w:b/>
          <w:iCs/>
          <w:u w:val="single"/>
        </w:rPr>
      </w:pPr>
      <w:r w:rsidRPr="00CE190E">
        <w:rPr>
          <w:rFonts w:ascii="Arial" w:hAnsi="Arial" w:cs="Arial"/>
          <w:b/>
          <w:iCs/>
          <w:u w:val="single"/>
        </w:rPr>
        <w:t>The Future of Gene Therapy - Innovative Treatments and Funding Challenges</w:t>
      </w:r>
    </w:p>
    <w:p w14:paraId="1D4A0FD5" w14:textId="77777777" w:rsidR="00740001" w:rsidRPr="00CE190E" w:rsidRDefault="00740001" w:rsidP="003E009F">
      <w:pPr>
        <w:widowControl/>
        <w:tabs>
          <w:tab w:val="left" w:pos="2304"/>
        </w:tabs>
        <w:rPr>
          <w:rFonts w:ascii="Arial" w:hAnsi="Arial" w:cs="Arial"/>
          <w:b/>
        </w:rPr>
      </w:pPr>
    </w:p>
    <w:p w14:paraId="75FC6E37" w14:textId="77777777" w:rsidR="00740001" w:rsidRPr="00CE190E" w:rsidRDefault="00740001" w:rsidP="003E009F">
      <w:pPr>
        <w:widowControl/>
        <w:tabs>
          <w:tab w:val="left" w:pos="2304"/>
        </w:tabs>
        <w:rPr>
          <w:rFonts w:ascii="Arial" w:hAnsi="Arial" w:cs="Arial"/>
          <w:b/>
        </w:rPr>
      </w:pPr>
    </w:p>
    <w:p w14:paraId="6533419A" w14:textId="1E873963" w:rsidR="00740001" w:rsidRPr="00CE190E" w:rsidRDefault="00CE190E" w:rsidP="00740001">
      <w:pPr>
        <w:widowControl/>
        <w:tabs>
          <w:tab w:val="left" w:pos="2304"/>
        </w:tabs>
        <w:rPr>
          <w:rFonts w:ascii="Arial" w:hAnsi="Arial" w:cs="Arial"/>
          <w:b/>
          <w:iCs/>
        </w:rPr>
      </w:pPr>
      <w:r>
        <w:rPr>
          <w:rFonts w:ascii="Arial" w:hAnsi="Arial" w:cs="Arial"/>
          <w:b/>
          <w:iCs/>
        </w:rPr>
        <w:t>Daniel Moore</w:t>
      </w:r>
      <w:r w:rsidR="00740001" w:rsidRPr="00CE190E">
        <w:rPr>
          <w:rFonts w:ascii="Arial" w:hAnsi="Arial" w:cs="Arial"/>
          <w:b/>
          <w:iCs/>
        </w:rPr>
        <w:t xml:space="preserve">, </w:t>
      </w:r>
      <w:r>
        <w:rPr>
          <w:rFonts w:ascii="Arial" w:hAnsi="Arial" w:cs="Arial"/>
          <w:b/>
          <w:iCs/>
        </w:rPr>
        <w:t>Lewis &amp; Ellis</w:t>
      </w:r>
    </w:p>
    <w:p w14:paraId="123F3657" w14:textId="77777777" w:rsidR="00740001" w:rsidRPr="00CE190E" w:rsidRDefault="00740001" w:rsidP="00740001">
      <w:pPr>
        <w:widowControl/>
        <w:tabs>
          <w:tab w:val="left" w:pos="2304"/>
        </w:tabs>
        <w:rPr>
          <w:rFonts w:ascii="Arial" w:hAnsi="Arial" w:cs="Arial"/>
          <w:b/>
          <w:iCs/>
        </w:rPr>
      </w:pPr>
    </w:p>
    <w:p w14:paraId="6B9EF36D" w14:textId="77777777" w:rsidR="00CE190E" w:rsidRPr="00CE190E" w:rsidRDefault="00CE190E" w:rsidP="00CE190E">
      <w:pPr>
        <w:pStyle w:val="xxmsonormal"/>
        <w:ind w:left="720"/>
        <w:rPr>
          <w:rFonts w:ascii="Arial" w:hAnsi="Arial" w:cs="Arial"/>
          <w:sz w:val="20"/>
          <w:szCs w:val="20"/>
        </w:rPr>
      </w:pPr>
      <w:r w:rsidRPr="00CE190E">
        <w:rPr>
          <w:rFonts w:ascii="Arial" w:hAnsi="Arial" w:cs="Arial"/>
          <w:sz w:val="20"/>
          <w:szCs w:val="20"/>
        </w:rPr>
        <w:t xml:space="preserve">Danny Moore is a Vice President &amp; Principal with Lewis &amp; Ellis, LLC.  Since joining L&amp;E in 2015, Danny has helped clients on a variety of needs for health and life products.  Danny’s experience includes design, pricing, and filing of A&amp;H products, regulatory review for state and federal entities, actuarial audits and exams, and actuarial support for litigation.  Danny also has </w:t>
      </w:r>
      <w:r w:rsidRPr="00CE190E">
        <w:rPr>
          <w:rFonts w:ascii="Arial" w:hAnsi="Arial" w:cs="Arial"/>
          <w:sz w:val="20"/>
          <w:szCs w:val="20"/>
        </w:rPr>
        <w:lastRenderedPageBreak/>
        <w:t>development and review experience for ACA marketplace plans, Medicare MAPD plans, and LTC products.  Prior to joining L&amp;E Danny spent a decade teaching and performing cello.</w:t>
      </w:r>
    </w:p>
    <w:p w14:paraId="083E8166" w14:textId="77777777" w:rsidR="00740001" w:rsidRDefault="00740001" w:rsidP="00CE190E">
      <w:pPr>
        <w:widowControl/>
        <w:tabs>
          <w:tab w:val="left" w:pos="2304"/>
        </w:tabs>
        <w:ind w:firstLine="900"/>
        <w:rPr>
          <w:rFonts w:ascii="Arial" w:hAnsi="Arial" w:cs="Arial"/>
          <w:b/>
          <w:iCs/>
        </w:rPr>
      </w:pPr>
    </w:p>
    <w:p w14:paraId="22BE6C1E" w14:textId="77777777" w:rsidR="00170AF7" w:rsidRDefault="00170AF7" w:rsidP="00170AF7">
      <w:pPr>
        <w:widowControl/>
        <w:tabs>
          <w:tab w:val="left" w:pos="2304"/>
        </w:tabs>
        <w:rPr>
          <w:rFonts w:ascii="Arial" w:hAnsi="Arial" w:cs="Arial"/>
          <w:b/>
          <w:u w:val="single"/>
        </w:rPr>
      </w:pPr>
    </w:p>
    <w:p w14:paraId="47577C36" w14:textId="75D90C6B" w:rsidR="00170AF7" w:rsidRPr="003F18D4" w:rsidRDefault="00170AF7" w:rsidP="00170AF7">
      <w:pPr>
        <w:widowControl/>
        <w:tabs>
          <w:tab w:val="left" w:pos="2304"/>
        </w:tabs>
        <w:rPr>
          <w:rFonts w:ascii="Arial" w:hAnsi="Arial" w:cs="Arial"/>
          <w:b/>
          <w:u w:val="single"/>
        </w:rPr>
      </w:pPr>
      <w:r>
        <w:rPr>
          <w:rFonts w:ascii="Arial" w:hAnsi="Arial" w:cs="Arial"/>
          <w:b/>
          <w:u w:val="single"/>
        </w:rPr>
        <w:t>Retiree Medical Reimbursement Plans</w:t>
      </w:r>
    </w:p>
    <w:p w14:paraId="0244F452" w14:textId="77777777" w:rsidR="00170AF7" w:rsidRDefault="00170AF7" w:rsidP="00170AF7">
      <w:pPr>
        <w:widowControl/>
        <w:tabs>
          <w:tab w:val="left" w:pos="2304"/>
        </w:tabs>
        <w:rPr>
          <w:rFonts w:ascii="Arial" w:hAnsi="Arial" w:cs="Arial"/>
          <w:b/>
        </w:rPr>
      </w:pPr>
    </w:p>
    <w:p w14:paraId="2A5D92F5" w14:textId="77777777" w:rsidR="00170AF7" w:rsidRDefault="00170AF7" w:rsidP="00170AF7">
      <w:pPr>
        <w:widowControl/>
        <w:tabs>
          <w:tab w:val="left" w:pos="2304"/>
        </w:tabs>
        <w:rPr>
          <w:rFonts w:ascii="Arial" w:hAnsi="Arial" w:cs="Arial"/>
          <w:b/>
        </w:rPr>
      </w:pPr>
    </w:p>
    <w:p w14:paraId="62DB7814" w14:textId="77777777" w:rsidR="00170AF7" w:rsidRPr="002F1B4E" w:rsidRDefault="00170AF7" w:rsidP="00170AF7">
      <w:pPr>
        <w:widowControl/>
        <w:tabs>
          <w:tab w:val="left" w:pos="2304"/>
        </w:tabs>
        <w:rPr>
          <w:rFonts w:ascii="Arial" w:hAnsi="Arial" w:cs="Arial"/>
          <w:sz w:val="18"/>
          <w:szCs w:val="18"/>
        </w:rPr>
      </w:pPr>
      <w:r>
        <w:rPr>
          <w:rFonts w:ascii="Arial" w:hAnsi="Arial" w:cs="Arial"/>
          <w:b/>
        </w:rPr>
        <w:t>Greg Stump, Boomershine Consulting</w:t>
      </w:r>
    </w:p>
    <w:p w14:paraId="189A7527" w14:textId="77777777" w:rsidR="00170AF7" w:rsidRDefault="00170AF7" w:rsidP="00170AF7">
      <w:pPr>
        <w:pStyle w:val="NormalWeb"/>
        <w:spacing w:before="0" w:beforeAutospacing="0" w:after="0" w:afterAutospacing="0"/>
        <w:jc w:val="both"/>
        <w:rPr>
          <w:rFonts w:ascii="Arial" w:hAnsi="Arial" w:cs="Arial"/>
          <w:sz w:val="18"/>
          <w:szCs w:val="18"/>
        </w:rPr>
      </w:pPr>
    </w:p>
    <w:p w14:paraId="788D237E" w14:textId="77777777" w:rsidR="00170AF7" w:rsidRPr="00DC55FE" w:rsidRDefault="00170AF7" w:rsidP="00170AF7">
      <w:pPr>
        <w:tabs>
          <w:tab w:val="left" w:pos="720"/>
        </w:tabs>
        <w:ind w:left="720"/>
        <w:jc w:val="both"/>
        <w:rPr>
          <w:rFonts w:ascii="Arial" w:hAnsi="Arial" w:cs="Arial"/>
        </w:rPr>
      </w:pPr>
      <w:r w:rsidRPr="00DC55FE">
        <w:rPr>
          <w:rFonts w:ascii="Arial" w:hAnsi="Arial" w:cs="Arial"/>
        </w:rPr>
        <w:t xml:space="preserve">Greg Stump is Chief Actuary at Boomershine Consulting Group in Baltimore, MD and specializes in public sector defined benefit and retiree healthcare plans. He is a Fellow of the Society of Actuaries, and a member/fellow of several other major actuarial organizations.  </w:t>
      </w:r>
    </w:p>
    <w:p w14:paraId="5997A02B" w14:textId="77777777" w:rsidR="00170AF7" w:rsidRPr="00DC55FE" w:rsidRDefault="00170AF7" w:rsidP="00170AF7">
      <w:pPr>
        <w:tabs>
          <w:tab w:val="left" w:pos="720"/>
        </w:tabs>
        <w:ind w:left="720"/>
        <w:jc w:val="both"/>
        <w:rPr>
          <w:rFonts w:ascii="Arial" w:hAnsi="Arial" w:cs="Arial"/>
          <w:color w:val="003366"/>
        </w:rPr>
      </w:pPr>
    </w:p>
    <w:p w14:paraId="28E87427" w14:textId="77777777" w:rsidR="00170AF7" w:rsidRPr="00DC55FE" w:rsidRDefault="00170AF7" w:rsidP="00170AF7">
      <w:pPr>
        <w:tabs>
          <w:tab w:val="left" w:pos="720"/>
        </w:tabs>
        <w:ind w:left="720"/>
        <w:jc w:val="both"/>
        <w:rPr>
          <w:rFonts w:ascii="Arial" w:hAnsi="Arial" w:cs="Arial"/>
          <w:sz w:val="24"/>
          <w:szCs w:val="24"/>
        </w:rPr>
      </w:pPr>
      <w:r w:rsidRPr="00DC55FE">
        <w:rPr>
          <w:rFonts w:ascii="Arial" w:hAnsi="Arial" w:cs="Arial"/>
        </w:rPr>
        <w:t xml:space="preserve">Greg is an expert on retirement cost and funding projections and benefit design, centering on the risks faced by public pension and retiree healthcare systems.  Over the past two decades, he has worked with over 100 governmental and corporate plans in their efforts to manage retirement benefit costs and associated risks. Currently serving as </w:t>
      </w:r>
      <w:proofErr w:type="gramStart"/>
      <w:r w:rsidRPr="00DC55FE">
        <w:rPr>
          <w:rFonts w:ascii="Arial" w:hAnsi="Arial" w:cs="Arial"/>
        </w:rPr>
        <w:t>actuary</w:t>
      </w:r>
      <w:proofErr w:type="gramEnd"/>
      <w:r w:rsidRPr="00DC55FE">
        <w:rPr>
          <w:rFonts w:ascii="Arial" w:hAnsi="Arial" w:cs="Arial"/>
        </w:rPr>
        <w:t xml:space="preserve"> to over 30 county and municipal pension and retiree healthcare systems, his focus is on funding policy and benefit design.</w:t>
      </w:r>
    </w:p>
    <w:p w14:paraId="78BCD089" w14:textId="77777777" w:rsidR="00170AF7" w:rsidRPr="00DC55FE" w:rsidRDefault="00170AF7" w:rsidP="00170AF7">
      <w:pPr>
        <w:tabs>
          <w:tab w:val="left" w:pos="720"/>
        </w:tabs>
        <w:ind w:left="720"/>
        <w:jc w:val="both"/>
        <w:rPr>
          <w:rFonts w:ascii="Arial" w:hAnsi="Arial" w:cs="Arial"/>
        </w:rPr>
      </w:pPr>
    </w:p>
    <w:p w14:paraId="7E9905D6" w14:textId="77777777" w:rsidR="00170AF7" w:rsidRPr="00DC55FE" w:rsidRDefault="00170AF7" w:rsidP="00170AF7">
      <w:pPr>
        <w:tabs>
          <w:tab w:val="left" w:pos="720"/>
        </w:tabs>
        <w:ind w:left="720"/>
        <w:jc w:val="both"/>
        <w:rPr>
          <w:rFonts w:ascii="Arial" w:hAnsi="Arial" w:cs="Arial"/>
        </w:rPr>
      </w:pPr>
      <w:r w:rsidRPr="00DC55FE">
        <w:rPr>
          <w:rFonts w:ascii="Arial" w:hAnsi="Arial" w:cs="Arial"/>
        </w:rPr>
        <w:t xml:space="preserve">Greg has worked with a variety of systems, both public and private, in eighteen states throughout the U.S. He has provided advice and service to some of the largest and most complex public plans in the </w:t>
      </w:r>
      <w:proofErr w:type="gramStart"/>
      <w:r w:rsidRPr="00DC55FE">
        <w:rPr>
          <w:rFonts w:ascii="Arial" w:hAnsi="Arial" w:cs="Arial"/>
        </w:rPr>
        <w:t>nation, and</w:t>
      </w:r>
      <w:proofErr w:type="gramEnd"/>
      <w:r w:rsidRPr="00DC55FE">
        <w:rPr>
          <w:rFonts w:ascii="Arial" w:hAnsi="Arial" w:cs="Arial"/>
        </w:rPr>
        <w:t xml:space="preserve"> has served on a number of national and regional committees and educational groups, providing continuing education for pension trustees and other governmental associations. </w:t>
      </w:r>
    </w:p>
    <w:p w14:paraId="4F81DC80" w14:textId="77777777" w:rsidR="00170AF7" w:rsidRPr="00DC55FE" w:rsidRDefault="00170AF7" w:rsidP="00170AF7">
      <w:pPr>
        <w:widowControl/>
        <w:tabs>
          <w:tab w:val="left" w:pos="720"/>
        </w:tabs>
        <w:spacing w:after="240" w:line="280" w:lineRule="exact"/>
        <w:ind w:left="720"/>
        <w:jc w:val="both"/>
        <w:rPr>
          <w:rFonts w:ascii="Arial" w:hAnsi="Arial" w:cs="Arial"/>
          <w:sz w:val="18"/>
          <w:szCs w:val="18"/>
        </w:rPr>
      </w:pPr>
      <w:r w:rsidRPr="00DC55FE">
        <w:rPr>
          <w:rFonts w:ascii="Arial" w:hAnsi="Arial" w:cs="Arial"/>
          <w:sz w:val="22"/>
          <w:szCs w:val="22"/>
        </w:rPr>
        <w:t xml:space="preserve"> </w:t>
      </w:r>
    </w:p>
    <w:p w14:paraId="43F4FAC8" w14:textId="77777777" w:rsidR="00170AF7" w:rsidRPr="00F76F91" w:rsidRDefault="00170AF7" w:rsidP="00170AF7">
      <w:pPr>
        <w:pStyle w:val="NormalWeb"/>
        <w:spacing w:before="0" w:beforeAutospacing="0" w:after="0" w:afterAutospacing="0"/>
        <w:jc w:val="both"/>
        <w:rPr>
          <w:rFonts w:ascii="Arial" w:hAnsi="Arial" w:cs="Arial"/>
          <w:sz w:val="18"/>
          <w:szCs w:val="18"/>
        </w:rPr>
      </w:pPr>
    </w:p>
    <w:p w14:paraId="301FBA8C" w14:textId="45C49A65" w:rsidR="000A697E" w:rsidRDefault="00CE190E" w:rsidP="003E009F">
      <w:pPr>
        <w:widowControl/>
        <w:tabs>
          <w:tab w:val="left" w:pos="2304"/>
        </w:tabs>
        <w:rPr>
          <w:rFonts w:ascii="Calibri" w:eastAsiaTheme="minorHAnsi" w:hAnsi="Calibri" w:cs="Calibri"/>
          <w:b/>
          <w:bCs/>
          <w:sz w:val="22"/>
          <w:szCs w:val="22"/>
          <w:u w:val="single"/>
        </w:rPr>
      </w:pPr>
      <w:r>
        <w:rPr>
          <w:rFonts w:ascii="Calibri" w:eastAsiaTheme="minorHAnsi" w:hAnsi="Calibri" w:cs="Calibri"/>
          <w:b/>
          <w:bCs/>
          <w:sz w:val="22"/>
          <w:szCs w:val="22"/>
          <w:u w:val="single"/>
        </w:rPr>
        <w:t>LDTI Day 2</w:t>
      </w:r>
    </w:p>
    <w:p w14:paraId="5078BC0B" w14:textId="77777777" w:rsidR="000A697E" w:rsidRDefault="000A697E" w:rsidP="003E009F">
      <w:pPr>
        <w:widowControl/>
        <w:tabs>
          <w:tab w:val="left" w:pos="2304"/>
        </w:tabs>
        <w:rPr>
          <w:rFonts w:ascii="Calibri" w:eastAsiaTheme="minorHAnsi" w:hAnsi="Calibri" w:cs="Calibri"/>
          <w:b/>
          <w:bCs/>
          <w:sz w:val="22"/>
          <w:szCs w:val="22"/>
          <w:u w:val="single"/>
        </w:rPr>
      </w:pPr>
    </w:p>
    <w:p w14:paraId="2D91DA7B" w14:textId="49068FD4" w:rsidR="000A697E" w:rsidRDefault="00CE190E" w:rsidP="003E009F">
      <w:pPr>
        <w:widowControl/>
        <w:tabs>
          <w:tab w:val="left" w:pos="2304"/>
        </w:tabs>
        <w:rPr>
          <w:rFonts w:ascii="Arial" w:hAnsi="Arial" w:cs="Arial"/>
          <w:b/>
          <w:iCs/>
        </w:rPr>
      </w:pPr>
      <w:r>
        <w:rPr>
          <w:rFonts w:ascii="Arial" w:hAnsi="Arial" w:cs="Arial"/>
          <w:b/>
          <w:iCs/>
        </w:rPr>
        <w:t>Nathan Worrell</w:t>
      </w:r>
      <w:r w:rsidR="00621C6C">
        <w:rPr>
          <w:rFonts w:ascii="Arial" w:hAnsi="Arial" w:cs="Arial"/>
          <w:b/>
          <w:iCs/>
        </w:rPr>
        <w:t xml:space="preserve"> </w:t>
      </w:r>
      <w:r>
        <w:rPr>
          <w:rFonts w:ascii="Arial" w:hAnsi="Arial" w:cs="Arial"/>
          <w:b/>
          <w:iCs/>
        </w:rPr>
        <w:t>–</w:t>
      </w:r>
      <w:r w:rsidR="00621C6C">
        <w:rPr>
          <w:rFonts w:ascii="Arial" w:hAnsi="Arial" w:cs="Arial"/>
          <w:b/>
          <w:iCs/>
        </w:rPr>
        <w:t xml:space="preserve"> </w:t>
      </w:r>
      <w:r>
        <w:rPr>
          <w:rFonts w:ascii="Arial" w:hAnsi="Arial" w:cs="Arial"/>
          <w:b/>
          <w:iCs/>
        </w:rPr>
        <w:t>Moody’s Analytics</w:t>
      </w:r>
    </w:p>
    <w:p w14:paraId="771DA91A" w14:textId="77777777" w:rsidR="000A697E" w:rsidRDefault="000A697E" w:rsidP="003E009F">
      <w:pPr>
        <w:widowControl/>
        <w:tabs>
          <w:tab w:val="left" w:pos="2304"/>
        </w:tabs>
        <w:rPr>
          <w:rFonts w:ascii="Arial" w:hAnsi="Arial" w:cs="Arial"/>
          <w:b/>
          <w:iCs/>
        </w:rPr>
      </w:pPr>
    </w:p>
    <w:p w14:paraId="61F7F777" w14:textId="77777777" w:rsidR="003C31ED" w:rsidRDefault="003C31ED" w:rsidP="003C31ED">
      <w:pPr>
        <w:ind w:left="720"/>
        <w:rPr>
          <w:sz w:val="22"/>
          <w:szCs w:val="22"/>
        </w:rPr>
      </w:pPr>
      <w:r>
        <w:rPr>
          <w:sz w:val="22"/>
          <w:szCs w:val="22"/>
        </w:rPr>
        <w:t xml:space="preserve">Nate Worrell is a Director of Customer Success at Moody’s.  He is an active volunteer for the Actuarial Foundation and Society of Actuaries. He enjoys writing, especially when there are prizes involved, having recently earned accolades in the Actuarial Speculative Fiction contest and SOA essay challenges. When not writing or helping his clients with their modelling needs, you can find him on the basketball court coaching at the middle school and high school level. He is based in Babcock Ranch, just outside Fort Myers Florida. </w:t>
      </w:r>
    </w:p>
    <w:p w14:paraId="00DD6AE6" w14:textId="77777777" w:rsidR="003C31ED" w:rsidRDefault="003C31ED" w:rsidP="003C31ED">
      <w:pPr>
        <w:ind w:left="720"/>
        <w:rPr>
          <w:sz w:val="22"/>
          <w:szCs w:val="22"/>
        </w:rPr>
      </w:pPr>
    </w:p>
    <w:p w14:paraId="495AA4CA" w14:textId="77777777" w:rsidR="003C31ED" w:rsidRDefault="003C31ED" w:rsidP="003C31ED">
      <w:pPr>
        <w:ind w:left="720"/>
        <w:rPr>
          <w:sz w:val="22"/>
          <w:szCs w:val="22"/>
        </w:rPr>
      </w:pPr>
      <w:hyperlink r:id="rId7" w:history="1">
        <w:r>
          <w:rPr>
            <w:rStyle w:val="Hyperlink"/>
            <w:sz w:val="22"/>
            <w:szCs w:val="22"/>
          </w:rPr>
          <w:t>https://www.linkedin.com/in/nathanworrell/</w:t>
        </w:r>
      </w:hyperlink>
    </w:p>
    <w:p w14:paraId="33B8AE78" w14:textId="77777777" w:rsidR="000A697E" w:rsidRPr="000A697E" w:rsidRDefault="000A697E" w:rsidP="003E009F">
      <w:pPr>
        <w:widowControl/>
        <w:tabs>
          <w:tab w:val="left" w:pos="2304"/>
        </w:tabs>
        <w:rPr>
          <w:rFonts w:ascii="Calibri" w:eastAsiaTheme="minorHAnsi" w:hAnsi="Calibri" w:cs="Calibri"/>
          <w:b/>
          <w:bCs/>
          <w:sz w:val="22"/>
          <w:szCs w:val="22"/>
          <w:u w:val="single"/>
        </w:rPr>
      </w:pPr>
    </w:p>
    <w:p w14:paraId="2F330C27" w14:textId="77777777" w:rsidR="00507FF3" w:rsidRDefault="00507FF3" w:rsidP="003E009F">
      <w:pPr>
        <w:widowControl/>
        <w:tabs>
          <w:tab w:val="left" w:pos="2304"/>
        </w:tabs>
        <w:rPr>
          <w:rFonts w:ascii="Arial" w:hAnsi="Arial" w:cs="Arial"/>
          <w:b/>
        </w:rPr>
      </w:pPr>
    </w:p>
    <w:p w14:paraId="3C3FB4DB" w14:textId="4DBB4155" w:rsidR="000469C9" w:rsidRPr="00BD522A" w:rsidRDefault="004503E7" w:rsidP="000469C9">
      <w:pPr>
        <w:widowControl/>
        <w:tabs>
          <w:tab w:val="left" w:pos="2304"/>
        </w:tabs>
        <w:rPr>
          <w:rFonts w:ascii="Arial" w:hAnsi="Arial" w:cs="Arial"/>
          <w:b/>
          <w:u w:val="single"/>
        </w:rPr>
      </w:pPr>
      <w:r>
        <w:rPr>
          <w:rFonts w:ascii="Arial" w:hAnsi="Arial" w:cs="Arial"/>
          <w:b/>
          <w:u w:val="single"/>
        </w:rPr>
        <w:t>Model</w:t>
      </w:r>
      <w:r w:rsidR="003A33F0">
        <w:rPr>
          <w:rFonts w:ascii="Arial" w:hAnsi="Arial" w:cs="Arial"/>
          <w:b/>
          <w:u w:val="single"/>
        </w:rPr>
        <w:t xml:space="preserve"> Build Lessons Learned</w:t>
      </w:r>
    </w:p>
    <w:p w14:paraId="74E3D6F4" w14:textId="77777777" w:rsidR="00740001" w:rsidRDefault="00740001" w:rsidP="000469C9">
      <w:pPr>
        <w:widowControl/>
        <w:tabs>
          <w:tab w:val="left" w:pos="2304"/>
        </w:tabs>
        <w:rPr>
          <w:rFonts w:ascii="Arial" w:hAnsi="Arial" w:cs="Arial"/>
          <w:b/>
        </w:rPr>
      </w:pPr>
    </w:p>
    <w:p w14:paraId="7AF162EC" w14:textId="77777777" w:rsidR="00740001" w:rsidRDefault="00740001" w:rsidP="000469C9">
      <w:pPr>
        <w:widowControl/>
        <w:tabs>
          <w:tab w:val="left" w:pos="2304"/>
        </w:tabs>
        <w:rPr>
          <w:rFonts w:ascii="Arial" w:hAnsi="Arial" w:cs="Arial"/>
          <w:b/>
        </w:rPr>
      </w:pPr>
    </w:p>
    <w:p w14:paraId="730A11B8" w14:textId="7B93A69B" w:rsidR="000469C9" w:rsidRPr="00BD522A" w:rsidRDefault="004503E7" w:rsidP="000469C9">
      <w:pPr>
        <w:widowControl/>
        <w:tabs>
          <w:tab w:val="left" w:pos="2304"/>
        </w:tabs>
        <w:rPr>
          <w:rFonts w:ascii="Arial" w:hAnsi="Arial" w:cs="Arial"/>
        </w:rPr>
      </w:pPr>
      <w:r>
        <w:rPr>
          <w:rFonts w:ascii="Arial" w:hAnsi="Arial" w:cs="Arial"/>
          <w:b/>
        </w:rPr>
        <w:t>Valerie Smeshko</w:t>
      </w:r>
      <w:r w:rsidR="000469C9" w:rsidRPr="00BD522A">
        <w:rPr>
          <w:rFonts w:ascii="Arial" w:hAnsi="Arial" w:cs="Arial"/>
        </w:rPr>
        <w:t>,</w:t>
      </w:r>
      <w:r w:rsidR="000469C9" w:rsidRPr="00740001">
        <w:rPr>
          <w:rFonts w:ascii="Arial" w:hAnsi="Arial" w:cs="Arial"/>
          <w:b/>
          <w:bCs/>
        </w:rPr>
        <w:t xml:space="preserve"> </w:t>
      </w:r>
      <w:r>
        <w:rPr>
          <w:rFonts w:ascii="Arial" w:hAnsi="Arial" w:cs="Arial"/>
          <w:b/>
          <w:bCs/>
        </w:rPr>
        <w:t>Fortitude Re</w:t>
      </w:r>
    </w:p>
    <w:p w14:paraId="6BB9C4A5" w14:textId="0219C2AC" w:rsidR="000469C9" w:rsidRPr="00B167B2" w:rsidRDefault="005D5307" w:rsidP="000F428A">
      <w:pPr>
        <w:pStyle w:val="NormalWeb"/>
        <w:spacing w:before="0" w:beforeAutospacing="0" w:after="0" w:afterAutospacing="0"/>
        <w:ind w:left="720"/>
        <w:jc w:val="both"/>
        <w:rPr>
          <w:rFonts w:ascii="Arial" w:hAnsi="Arial" w:cs="Arial"/>
          <w:b/>
          <w:sz w:val="18"/>
          <w:szCs w:val="18"/>
        </w:rPr>
      </w:pPr>
      <w:r w:rsidRPr="005D5307">
        <w:rPr>
          <w:rFonts w:ascii="Arial" w:hAnsi="Arial" w:cs="Arial"/>
          <w:sz w:val="18"/>
          <w:szCs w:val="18"/>
        </w:rPr>
        <w:t>.</w:t>
      </w:r>
    </w:p>
    <w:p w14:paraId="6B4AAA68" w14:textId="77777777" w:rsidR="003D43F4" w:rsidRPr="003D43F4" w:rsidRDefault="003D43F4" w:rsidP="003D43F4">
      <w:pPr>
        <w:widowControl/>
        <w:ind w:left="720"/>
        <w:rPr>
          <w:rFonts w:ascii="Arial" w:hAnsi="Arial" w:cs="Arial"/>
        </w:rPr>
      </w:pPr>
      <w:r w:rsidRPr="003D43F4">
        <w:rPr>
          <w:rFonts w:ascii="Arial" w:hAnsi="Arial" w:cs="Arial"/>
        </w:rPr>
        <w:t xml:space="preserve">Valerie Smeshko is the Vice President, Life </w:t>
      </w:r>
      <w:proofErr w:type="spellStart"/>
      <w:r w:rsidRPr="003D43F4">
        <w:rPr>
          <w:rFonts w:ascii="Arial" w:hAnsi="Arial" w:cs="Arial"/>
        </w:rPr>
        <w:t>Inforce</w:t>
      </w:r>
      <w:proofErr w:type="spellEnd"/>
      <w:r w:rsidRPr="003D43F4">
        <w:rPr>
          <w:rFonts w:ascii="Arial" w:hAnsi="Arial" w:cs="Arial"/>
        </w:rPr>
        <w:t xml:space="preserve"> Modeling Actuary at Fortitude Re and is responsible for leading the Traditional Life and Annuity Modeling team in BMA, CFT and LRT projections, reserve calculations and model development. </w:t>
      </w:r>
    </w:p>
    <w:p w14:paraId="2A784B19" w14:textId="77777777" w:rsidR="003D43F4" w:rsidRPr="003D43F4" w:rsidRDefault="003D43F4" w:rsidP="003D43F4">
      <w:pPr>
        <w:widowControl/>
        <w:ind w:left="720"/>
        <w:rPr>
          <w:rFonts w:ascii="Arial" w:hAnsi="Arial" w:cs="Arial"/>
        </w:rPr>
      </w:pPr>
      <w:r w:rsidRPr="003D43F4">
        <w:rPr>
          <w:rFonts w:ascii="Arial" w:hAnsi="Arial" w:cs="Arial"/>
        </w:rPr>
        <w:t> </w:t>
      </w:r>
    </w:p>
    <w:p w14:paraId="63E5C689" w14:textId="77777777" w:rsidR="003D43F4" w:rsidRPr="003D43F4" w:rsidRDefault="003D43F4" w:rsidP="003D43F4">
      <w:pPr>
        <w:widowControl/>
        <w:ind w:left="720"/>
        <w:rPr>
          <w:rFonts w:ascii="Arial" w:hAnsi="Arial" w:cs="Arial"/>
        </w:rPr>
      </w:pPr>
      <w:r w:rsidRPr="003D43F4">
        <w:rPr>
          <w:rFonts w:ascii="Arial" w:hAnsi="Arial" w:cs="Arial"/>
        </w:rPr>
        <w:t xml:space="preserve">Valerie has 10 years of experience in US Life Insurance after transitioning from pension consulting. Prior to joining Fortitude Re, Valerie served as the Term and Traditional Life Model Steward and System Conversion Leader for Allstate Life and Retirement. She was accountable </w:t>
      </w:r>
      <w:r w:rsidRPr="003D43F4">
        <w:rPr>
          <w:rFonts w:ascii="Arial" w:hAnsi="Arial" w:cs="Arial"/>
        </w:rPr>
        <w:lastRenderedPageBreak/>
        <w:t xml:space="preserve">for model build, control and integrity as well as the implementation of conversions into valuation and modeling production processes. </w:t>
      </w:r>
      <w:proofErr w:type="gramStart"/>
      <w:r w:rsidRPr="003D43F4">
        <w:rPr>
          <w:rFonts w:ascii="Arial" w:hAnsi="Arial" w:cs="Arial"/>
        </w:rPr>
        <w:t>Previous to</w:t>
      </w:r>
      <w:proofErr w:type="gramEnd"/>
      <w:r w:rsidRPr="003D43F4">
        <w:rPr>
          <w:rFonts w:ascii="Arial" w:hAnsi="Arial" w:cs="Arial"/>
        </w:rPr>
        <w:t xml:space="preserve"> this role, Valerie worked on the FAS 97 close for Deferred and Equity Indexed Annuity products, developed new AXIS models for both Traditional and Universal Life products, and led the effort to design, implement and control the flow of AXIS model output. </w:t>
      </w:r>
    </w:p>
    <w:p w14:paraId="00FE686A" w14:textId="77777777" w:rsidR="003D43F4" w:rsidRPr="003D43F4" w:rsidRDefault="003D43F4" w:rsidP="003D43F4">
      <w:pPr>
        <w:widowControl/>
        <w:ind w:left="720"/>
        <w:rPr>
          <w:rFonts w:ascii="Arial" w:hAnsi="Arial" w:cs="Arial"/>
        </w:rPr>
      </w:pPr>
      <w:r w:rsidRPr="003D43F4">
        <w:rPr>
          <w:rFonts w:ascii="Arial" w:hAnsi="Arial" w:cs="Arial"/>
        </w:rPr>
        <w:t> </w:t>
      </w:r>
    </w:p>
    <w:p w14:paraId="3AF85A8A" w14:textId="77777777" w:rsidR="003D43F4" w:rsidRPr="003D43F4" w:rsidRDefault="003D43F4" w:rsidP="003D43F4">
      <w:pPr>
        <w:widowControl/>
        <w:ind w:left="720"/>
        <w:rPr>
          <w:rFonts w:ascii="Arial" w:hAnsi="Arial" w:cs="Arial"/>
        </w:rPr>
      </w:pPr>
      <w:r w:rsidRPr="003D43F4">
        <w:rPr>
          <w:rFonts w:ascii="Arial" w:hAnsi="Arial" w:cs="Arial"/>
        </w:rPr>
        <w:t>Valerie earned a Bachelor of Business Administration in Actuarial Science and Risk Management and Insurance from the University of Wisconsin-Madison. She is a Fellow of the Society of Actuaries.</w:t>
      </w:r>
    </w:p>
    <w:p w14:paraId="4A73855E" w14:textId="6EF1FD41" w:rsidR="000469C9" w:rsidRPr="000F428A" w:rsidRDefault="000469C9" w:rsidP="000F428A">
      <w:pPr>
        <w:widowControl/>
        <w:tabs>
          <w:tab w:val="left" w:pos="2304"/>
        </w:tabs>
        <w:ind w:left="720"/>
        <w:jc w:val="both"/>
        <w:rPr>
          <w:rFonts w:ascii="Calibri" w:eastAsiaTheme="minorHAnsi" w:hAnsi="Calibri" w:cs="Calibri"/>
          <w:sz w:val="22"/>
          <w:szCs w:val="22"/>
        </w:rPr>
      </w:pPr>
    </w:p>
    <w:p w14:paraId="158A3C59" w14:textId="77777777" w:rsidR="000F428A" w:rsidRDefault="000F428A" w:rsidP="00B167B2">
      <w:pPr>
        <w:widowControl/>
        <w:tabs>
          <w:tab w:val="left" w:pos="2304"/>
        </w:tabs>
        <w:jc w:val="both"/>
        <w:rPr>
          <w:rFonts w:ascii="Arial" w:hAnsi="Arial" w:cs="Arial"/>
          <w:b/>
          <w:sz w:val="18"/>
          <w:szCs w:val="18"/>
        </w:rPr>
      </w:pPr>
    </w:p>
    <w:p w14:paraId="0D6A50C3" w14:textId="77777777" w:rsidR="000F428A" w:rsidRPr="00B167B2" w:rsidRDefault="000F428A" w:rsidP="00B167B2">
      <w:pPr>
        <w:widowControl/>
        <w:tabs>
          <w:tab w:val="left" w:pos="2304"/>
        </w:tabs>
        <w:jc w:val="both"/>
        <w:rPr>
          <w:rFonts w:ascii="Arial" w:hAnsi="Arial" w:cs="Arial"/>
          <w:b/>
          <w:sz w:val="18"/>
          <w:szCs w:val="18"/>
        </w:rPr>
      </w:pPr>
    </w:p>
    <w:p w14:paraId="00DE0AD1" w14:textId="4A762D31" w:rsidR="00740001" w:rsidRPr="004503E7" w:rsidRDefault="004503E7" w:rsidP="00F75290">
      <w:pPr>
        <w:widowControl/>
        <w:tabs>
          <w:tab w:val="left" w:pos="2304"/>
        </w:tabs>
        <w:rPr>
          <w:rFonts w:ascii="Arial" w:hAnsi="Arial" w:cs="Arial"/>
          <w:b/>
          <w:u w:val="single"/>
        </w:rPr>
      </w:pPr>
      <w:r w:rsidRPr="004503E7">
        <w:rPr>
          <w:rFonts w:ascii="Arial" w:hAnsi="Arial" w:cs="Arial"/>
          <w:b/>
          <w:bCs/>
          <w:u w:val="single"/>
        </w:rPr>
        <w:t>Indexed UL Assumptions – Learn from the UL Lessons of the Past</w:t>
      </w:r>
    </w:p>
    <w:p w14:paraId="16DA51B6" w14:textId="77777777" w:rsidR="00740001" w:rsidRDefault="00740001" w:rsidP="00F75290">
      <w:pPr>
        <w:widowControl/>
        <w:tabs>
          <w:tab w:val="left" w:pos="2304"/>
        </w:tabs>
        <w:rPr>
          <w:rFonts w:ascii="Arial" w:hAnsi="Arial" w:cs="Arial"/>
          <w:b/>
        </w:rPr>
      </w:pPr>
    </w:p>
    <w:p w14:paraId="3D04E23F" w14:textId="71AF5831" w:rsidR="00740001" w:rsidRDefault="004503E7" w:rsidP="00740001">
      <w:pPr>
        <w:widowControl/>
        <w:tabs>
          <w:tab w:val="left" w:pos="2304"/>
        </w:tabs>
        <w:rPr>
          <w:rFonts w:ascii="Arial" w:hAnsi="Arial" w:cs="Arial"/>
          <w:b/>
        </w:rPr>
      </w:pPr>
      <w:r>
        <w:rPr>
          <w:rFonts w:ascii="Arial" w:hAnsi="Arial" w:cs="Arial"/>
          <w:b/>
        </w:rPr>
        <w:t>Nik Godon, WTW</w:t>
      </w:r>
    </w:p>
    <w:p w14:paraId="6CAB78E8" w14:textId="77777777" w:rsidR="00740001" w:rsidRDefault="00740001" w:rsidP="00740001">
      <w:pPr>
        <w:widowControl/>
        <w:tabs>
          <w:tab w:val="left" w:pos="2304"/>
        </w:tabs>
        <w:rPr>
          <w:rFonts w:ascii="Arial" w:hAnsi="Arial" w:cs="Arial"/>
          <w:b/>
        </w:rPr>
      </w:pPr>
    </w:p>
    <w:p w14:paraId="4147F579" w14:textId="77777777" w:rsidR="004503E7" w:rsidRPr="004503E7" w:rsidRDefault="004503E7" w:rsidP="004503E7">
      <w:pPr>
        <w:pStyle w:val="BioText"/>
        <w:spacing w:after="240"/>
        <w:ind w:left="720"/>
        <w:rPr>
          <w:rFonts w:ascii="Arial" w:hAnsi="Arial" w:cs="Arial"/>
        </w:rPr>
      </w:pPr>
      <w:r w:rsidRPr="004503E7">
        <w:rPr>
          <w:rFonts w:ascii="Arial" w:hAnsi="Arial" w:cs="Arial"/>
        </w:rPr>
        <w:t xml:space="preserve">Nik is a Senior Director and joined WTW in 2021. Nik’s primary area of practice is individual life insurance and annuities. He leads our litigation support and expert witness practice. Since joining WTW Nik has primarily worked on M&amp;A buy side support for life insurance blocks, life insurance company embedded value reviews, and litigation and reinsurance arbitration support.  Nik came to WTW from Transamerica and has over 25 years of experience in the industry in a variety of roles.  Nik received an M.B.A. from the University of Iowa and a B.Sc. in Actuarial Mathematics from Concordia University. Nik is a Fellow of the Society of Actuaries, a Member of the American Academy of Actuaries and a Fellow of the Canadian Institute of Actuaries. </w:t>
      </w:r>
    </w:p>
    <w:p w14:paraId="3BAFA688" w14:textId="00A0ED71" w:rsidR="00740001" w:rsidRPr="00740001" w:rsidRDefault="00740001" w:rsidP="00740001">
      <w:pPr>
        <w:widowControl/>
        <w:tabs>
          <w:tab w:val="left" w:pos="2304"/>
        </w:tabs>
        <w:rPr>
          <w:rFonts w:ascii="Arial" w:hAnsi="Arial" w:cs="Arial"/>
          <w:b/>
        </w:rPr>
      </w:pPr>
    </w:p>
    <w:p w14:paraId="0AC130BF" w14:textId="77777777" w:rsidR="00C56C59" w:rsidRDefault="00C56C59" w:rsidP="005D5307">
      <w:pPr>
        <w:widowControl/>
        <w:spacing w:after="160" w:line="259" w:lineRule="auto"/>
        <w:rPr>
          <w:rFonts w:ascii="Arial" w:hAnsi="Arial" w:cs="Arial"/>
          <w:b/>
          <w:u w:val="single"/>
        </w:rPr>
      </w:pPr>
    </w:p>
    <w:p w14:paraId="4A4C1EB8" w14:textId="785C76E9" w:rsidR="00740001" w:rsidRPr="00137F68" w:rsidRDefault="00137F68" w:rsidP="00740001">
      <w:pPr>
        <w:widowControl/>
        <w:spacing w:after="160" w:line="259" w:lineRule="auto"/>
        <w:rPr>
          <w:rFonts w:ascii="Arial" w:hAnsi="Arial" w:cs="Arial"/>
          <w:b/>
          <w:u w:val="single"/>
        </w:rPr>
      </w:pPr>
      <w:r w:rsidRPr="00137F68">
        <w:rPr>
          <w:rFonts w:ascii="Arial" w:hAnsi="Arial" w:cs="Arial"/>
          <w:b/>
          <w:bCs/>
          <w:u w:val="single"/>
        </w:rPr>
        <w:t>Risk Sharing Arrangements in an Ever-Changing MAPD World</w:t>
      </w:r>
    </w:p>
    <w:p w14:paraId="669686DA" w14:textId="77777777" w:rsidR="00137F68" w:rsidRDefault="00137F68" w:rsidP="00740001">
      <w:pPr>
        <w:widowControl/>
        <w:tabs>
          <w:tab w:val="left" w:pos="2340"/>
        </w:tabs>
        <w:rPr>
          <w:rFonts w:ascii="Arial" w:hAnsi="Arial"/>
          <w:b/>
          <w:bCs/>
          <w:iCs/>
        </w:rPr>
      </w:pPr>
    </w:p>
    <w:p w14:paraId="27297DC1" w14:textId="1D2D5740" w:rsidR="00740001" w:rsidRPr="00740001" w:rsidRDefault="00DF7F52" w:rsidP="00740001">
      <w:pPr>
        <w:widowControl/>
        <w:tabs>
          <w:tab w:val="left" w:pos="2340"/>
        </w:tabs>
        <w:rPr>
          <w:rFonts w:ascii="Arial" w:hAnsi="Arial"/>
          <w:b/>
          <w:bCs/>
          <w:iCs/>
        </w:rPr>
      </w:pPr>
      <w:r>
        <w:rPr>
          <w:rFonts w:ascii="Arial" w:hAnsi="Arial"/>
          <w:b/>
          <w:bCs/>
          <w:iCs/>
        </w:rPr>
        <w:t>J</w:t>
      </w:r>
      <w:r w:rsidR="00E9306A">
        <w:rPr>
          <w:rFonts w:ascii="Arial" w:hAnsi="Arial"/>
          <w:b/>
          <w:bCs/>
          <w:iCs/>
        </w:rPr>
        <w:t>ames</w:t>
      </w:r>
      <w:r>
        <w:rPr>
          <w:rFonts w:ascii="Arial" w:hAnsi="Arial"/>
          <w:b/>
          <w:bCs/>
          <w:iCs/>
        </w:rPr>
        <w:t xml:space="preserve"> Cooper, Milliman</w:t>
      </w:r>
    </w:p>
    <w:p w14:paraId="534FCBD9" w14:textId="77777777" w:rsidR="00740001" w:rsidRDefault="00740001" w:rsidP="00740001">
      <w:pPr>
        <w:widowControl/>
        <w:tabs>
          <w:tab w:val="left" w:pos="2304"/>
        </w:tabs>
        <w:rPr>
          <w:rFonts w:ascii="Arial" w:hAnsi="Arial"/>
          <w:b/>
          <w:bCs/>
          <w:iCs/>
        </w:rPr>
      </w:pPr>
    </w:p>
    <w:p w14:paraId="082F18A4" w14:textId="77777777" w:rsidR="006E06F9" w:rsidRPr="006E06F9" w:rsidRDefault="006E06F9" w:rsidP="006E06F9">
      <w:pPr>
        <w:ind w:left="720"/>
        <w:rPr>
          <w:rFonts w:ascii="Arial" w:hAnsi="Arial" w:cs="Arial"/>
        </w:rPr>
      </w:pPr>
      <w:r w:rsidRPr="006E06F9">
        <w:rPr>
          <w:rFonts w:ascii="Arial" w:hAnsi="Arial" w:cs="Arial"/>
        </w:rPr>
        <w:t>James is a Consulting Actuary with Milliman with over 10 years of experience. Since joining Milliman in 2014, James has had extensive experience assisting carriers and provider groups with their Medicare Advantage, ACA compliant Individual and Small Group, and Medicaid products. James’ expertise includes optimized pricing and product strategy leading to improved financial projections.</w:t>
      </w:r>
    </w:p>
    <w:p w14:paraId="753765C0" w14:textId="77777777" w:rsidR="00016CE4" w:rsidRDefault="00016CE4" w:rsidP="00515CE7">
      <w:pPr>
        <w:widowControl/>
        <w:spacing w:before="40" w:after="40"/>
        <w:ind w:left="720"/>
        <w:rPr>
          <w:rFonts w:ascii="Calibri" w:eastAsiaTheme="minorHAnsi" w:hAnsi="Calibri" w:cs="Calibri"/>
          <w:sz w:val="22"/>
          <w:szCs w:val="22"/>
        </w:rPr>
      </w:pPr>
    </w:p>
    <w:p w14:paraId="00AE78A7" w14:textId="0AEA1686" w:rsidR="00016CE4" w:rsidRPr="00740001" w:rsidRDefault="00016CE4" w:rsidP="00016CE4">
      <w:pPr>
        <w:widowControl/>
        <w:tabs>
          <w:tab w:val="left" w:pos="2340"/>
        </w:tabs>
        <w:rPr>
          <w:rFonts w:ascii="Arial" w:hAnsi="Arial"/>
          <w:b/>
          <w:bCs/>
          <w:iCs/>
        </w:rPr>
      </w:pPr>
      <w:r>
        <w:rPr>
          <w:rFonts w:ascii="Arial" w:hAnsi="Arial"/>
          <w:b/>
          <w:bCs/>
          <w:iCs/>
        </w:rPr>
        <w:t>Jeff Grover, Complete Health</w:t>
      </w:r>
    </w:p>
    <w:p w14:paraId="4057591D" w14:textId="77777777" w:rsidR="00016CE4" w:rsidRDefault="00016CE4" w:rsidP="00016CE4">
      <w:pPr>
        <w:widowControl/>
        <w:tabs>
          <w:tab w:val="left" w:pos="2304"/>
        </w:tabs>
        <w:rPr>
          <w:rFonts w:ascii="Arial" w:hAnsi="Arial"/>
          <w:b/>
          <w:bCs/>
          <w:iCs/>
        </w:rPr>
      </w:pPr>
    </w:p>
    <w:p w14:paraId="5870C087" w14:textId="67389AB5" w:rsidR="007D6DCB" w:rsidRPr="004A56BD" w:rsidRDefault="004A56BD" w:rsidP="004A56BD">
      <w:pPr>
        <w:widowControl/>
        <w:tabs>
          <w:tab w:val="left" w:pos="2304"/>
        </w:tabs>
        <w:ind w:left="720"/>
        <w:rPr>
          <w:rFonts w:ascii="Arial" w:hAnsi="Arial" w:cs="Arial"/>
          <w:b/>
          <w:bCs/>
          <w:iCs/>
          <w:u w:val="single"/>
        </w:rPr>
      </w:pPr>
      <w:r w:rsidRPr="004A56BD">
        <w:rPr>
          <w:rFonts w:ascii="Arial" w:hAnsi="Arial" w:cs="Arial"/>
        </w:rPr>
        <w:t>Jeff Grover is the Vice President of Actuarial Services at Complete Health, a primary care provider group in Alabama and Florida that takes both full-risk Medicare Advantage and Part D Southeastern Actuaries Conference 2023 Spring Meeting Speaker Bios and ACO REACH risk on its patients. Jeff began his actuarial career in MAPD consulting, performing bids, forecasting, and reserving work for payer clients. Later, his focus shifted to provider sponsored health plans, and consulting for provider groups taking both MSSP and MAPD risk.</w:t>
      </w:r>
    </w:p>
    <w:p w14:paraId="20F426DF" w14:textId="77777777" w:rsidR="00016CE4" w:rsidRDefault="00016CE4" w:rsidP="007F1692">
      <w:pPr>
        <w:widowControl/>
        <w:tabs>
          <w:tab w:val="left" w:pos="2304"/>
        </w:tabs>
        <w:rPr>
          <w:rFonts w:ascii="Arial" w:hAnsi="Arial" w:cs="Arial"/>
          <w:b/>
          <w:bCs/>
          <w:iCs/>
          <w:u w:val="single"/>
        </w:rPr>
      </w:pPr>
    </w:p>
    <w:p w14:paraId="0D00C4E3" w14:textId="77777777" w:rsidR="004A56BD" w:rsidRDefault="004A56BD" w:rsidP="007F1692">
      <w:pPr>
        <w:widowControl/>
        <w:tabs>
          <w:tab w:val="left" w:pos="2304"/>
        </w:tabs>
        <w:rPr>
          <w:rFonts w:ascii="Arial" w:hAnsi="Arial" w:cs="Arial"/>
          <w:b/>
          <w:bCs/>
          <w:iCs/>
          <w:u w:val="single"/>
        </w:rPr>
      </w:pPr>
    </w:p>
    <w:p w14:paraId="13634D67" w14:textId="05C4484F" w:rsidR="00740001" w:rsidRDefault="00DF7F52" w:rsidP="00740001">
      <w:pPr>
        <w:widowControl/>
        <w:tabs>
          <w:tab w:val="left" w:pos="2304"/>
        </w:tabs>
        <w:rPr>
          <w:rFonts w:ascii="Arial" w:hAnsi="Arial" w:cs="Arial"/>
          <w:b/>
          <w:bCs/>
          <w:iCs/>
          <w:u w:val="single"/>
        </w:rPr>
      </w:pPr>
      <w:r>
        <w:rPr>
          <w:rFonts w:ascii="Arial" w:hAnsi="Arial" w:cs="Arial"/>
          <w:b/>
          <w:bCs/>
          <w:iCs/>
          <w:u w:val="single"/>
        </w:rPr>
        <w:t>Trends in Medicare Advantage, Part D</w:t>
      </w:r>
    </w:p>
    <w:p w14:paraId="0B42F7CE" w14:textId="77777777" w:rsidR="00740001" w:rsidRDefault="00740001" w:rsidP="00740001">
      <w:pPr>
        <w:widowControl/>
        <w:tabs>
          <w:tab w:val="left" w:pos="2304"/>
        </w:tabs>
        <w:rPr>
          <w:rFonts w:ascii="Arial" w:hAnsi="Arial" w:cs="Arial"/>
          <w:b/>
          <w:bCs/>
          <w:iCs/>
          <w:u w:val="single"/>
        </w:rPr>
      </w:pPr>
    </w:p>
    <w:p w14:paraId="01402D7A" w14:textId="77777777" w:rsidR="00740001" w:rsidRDefault="00740001" w:rsidP="00740001">
      <w:pPr>
        <w:widowControl/>
        <w:tabs>
          <w:tab w:val="left" w:pos="2304"/>
        </w:tabs>
        <w:rPr>
          <w:rFonts w:ascii="Arial" w:hAnsi="Arial" w:cs="Arial"/>
          <w:b/>
          <w:bCs/>
          <w:iCs/>
          <w:u w:val="single"/>
        </w:rPr>
      </w:pPr>
    </w:p>
    <w:p w14:paraId="0688148C" w14:textId="755E486F" w:rsidR="00740001" w:rsidRPr="00740001" w:rsidRDefault="00DF7F52" w:rsidP="00740001">
      <w:pPr>
        <w:widowControl/>
        <w:tabs>
          <w:tab w:val="left" w:pos="2340"/>
        </w:tabs>
        <w:rPr>
          <w:rFonts w:ascii="Arial" w:hAnsi="Arial" w:cs="Arial"/>
          <w:b/>
          <w:bCs/>
        </w:rPr>
      </w:pPr>
      <w:r>
        <w:rPr>
          <w:rFonts w:ascii="Arial" w:hAnsi="Arial" w:cs="Arial"/>
          <w:b/>
          <w:bCs/>
        </w:rPr>
        <w:lastRenderedPageBreak/>
        <w:t>Robert Lang</w:t>
      </w:r>
      <w:r w:rsidR="00740001" w:rsidRPr="00740001">
        <w:rPr>
          <w:rFonts w:ascii="Arial" w:hAnsi="Arial" w:cs="Arial"/>
          <w:b/>
          <w:bCs/>
        </w:rPr>
        <w:t>,</w:t>
      </w:r>
      <w:r>
        <w:rPr>
          <w:rFonts w:ascii="Arial" w:hAnsi="Arial" w:cs="Arial"/>
          <w:b/>
          <w:bCs/>
        </w:rPr>
        <w:t xml:space="preserve"> Wakely</w:t>
      </w:r>
    </w:p>
    <w:p w14:paraId="63B89FE3" w14:textId="77777777" w:rsidR="00566D20" w:rsidRDefault="00566D20" w:rsidP="00740001">
      <w:pPr>
        <w:widowControl/>
        <w:tabs>
          <w:tab w:val="left" w:pos="2304"/>
        </w:tabs>
        <w:rPr>
          <w:rFonts w:ascii="Arial" w:hAnsi="Arial" w:cs="Arial"/>
          <w:b/>
          <w:bCs/>
        </w:rPr>
      </w:pPr>
    </w:p>
    <w:p w14:paraId="59BF069D" w14:textId="77777777" w:rsidR="000B1A80" w:rsidRPr="000B1A80" w:rsidRDefault="000B1A80" w:rsidP="000B1A80">
      <w:pPr>
        <w:ind w:left="720"/>
        <w:jc w:val="both"/>
        <w:rPr>
          <w:rFonts w:ascii="Arial" w:hAnsi="Arial" w:cs="Arial"/>
        </w:rPr>
      </w:pPr>
      <w:r w:rsidRPr="000B1A80">
        <w:rPr>
          <w:rFonts w:ascii="Arial" w:hAnsi="Arial" w:cs="Arial"/>
        </w:rPr>
        <w:t>Robert Lang is a Senior Consulting Actuary with Wakely and has over 13 years of experience with Medicare Advantage bids. Robert has worked extensively with Medicare Advantage products over the past 13 years, including certifying bids for the last 8 years. Over the course of his career, Robert has managed a variety of actuarial analyses including Medicare Advantage risk accrual and Part D reconciliation estimates, claim liability estimates, financial forecasting, ACA rate filings, creditable coverage determinations. He has worked with provider clients in evaluation of risk ceded from payors.  He has also worked with multiple vendor clients in developing their pricing and evaluating their value proposition and ROI for payors through analysis of their care management interventions. Other projects include research and evaluation of the Medicare VBID programs as well as development of reporting packages for downstream entities. He has authored and co-authored multiple white papers at Wakely on topics such as Medicare Buy-In, starting a Medicare Advantage plan and considerations for ROI analyses.</w:t>
      </w:r>
    </w:p>
    <w:p w14:paraId="106D8895" w14:textId="77777777" w:rsidR="000B1A80" w:rsidRPr="000B1A80" w:rsidRDefault="000B1A80" w:rsidP="000B1A80">
      <w:pPr>
        <w:ind w:left="720"/>
        <w:jc w:val="both"/>
        <w:rPr>
          <w:rFonts w:ascii="Arial" w:hAnsi="Arial" w:cs="Arial"/>
        </w:rPr>
      </w:pPr>
    </w:p>
    <w:p w14:paraId="551D83E9" w14:textId="77777777" w:rsidR="000B1A80" w:rsidRDefault="000B1A80" w:rsidP="000B1A80">
      <w:pPr>
        <w:ind w:left="720"/>
        <w:jc w:val="both"/>
        <w:rPr>
          <w:rFonts w:ascii="Arial" w:hAnsi="Arial" w:cs="Arial"/>
        </w:rPr>
      </w:pPr>
      <w:r w:rsidRPr="000B1A80">
        <w:rPr>
          <w:rFonts w:ascii="Arial" w:hAnsi="Arial" w:cs="Arial"/>
        </w:rPr>
        <w:t>Robert earned his bachelor's degree in mathematics from Florida Atlantic University Wilkes Honors college in 2011. He is a Fellow of the Society of Actuaries and a member of the American Academy of Actuaries.</w:t>
      </w:r>
    </w:p>
    <w:p w14:paraId="2702E3BC" w14:textId="77777777" w:rsidR="000B1A80" w:rsidRPr="000B1A80" w:rsidRDefault="000B1A80" w:rsidP="000B1A80">
      <w:pPr>
        <w:ind w:left="720"/>
        <w:jc w:val="both"/>
        <w:rPr>
          <w:rFonts w:ascii="Arial" w:hAnsi="Arial" w:cs="Arial"/>
          <w14:ligatures w14:val="standardContextual"/>
        </w:rPr>
      </w:pPr>
    </w:p>
    <w:p w14:paraId="686E13CB" w14:textId="77777777" w:rsidR="008A35F2" w:rsidRDefault="008A35F2" w:rsidP="00880853">
      <w:pPr>
        <w:widowControl/>
        <w:tabs>
          <w:tab w:val="left" w:pos="2304"/>
        </w:tabs>
        <w:rPr>
          <w:rFonts w:ascii="Arial" w:hAnsi="Arial" w:cs="Arial"/>
          <w:b/>
          <w:sz w:val="18"/>
          <w:szCs w:val="18"/>
        </w:rPr>
      </w:pPr>
    </w:p>
    <w:p w14:paraId="2E89840F" w14:textId="77777777" w:rsidR="001626F9" w:rsidRPr="007230AA" w:rsidRDefault="001626F9" w:rsidP="00880853">
      <w:pPr>
        <w:widowControl/>
        <w:tabs>
          <w:tab w:val="left" w:pos="2304"/>
        </w:tabs>
        <w:rPr>
          <w:rFonts w:ascii="Arial" w:hAnsi="Arial" w:cs="Arial"/>
          <w:b/>
          <w:sz w:val="18"/>
          <w:szCs w:val="18"/>
        </w:rPr>
      </w:pPr>
    </w:p>
    <w:p w14:paraId="68239738" w14:textId="16D781B1" w:rsidR="00CB3A73" w:rsidRPr="003F18D4" w:rsidRDefault="000B1A80" w:rsidP="00236C48">
      <w:pPr>
        <w:widowControl/>
        <w:spacing w:line="259" w:lineRule="auto"/>
        <w:rPr>
          <w:rFonts w:ascii="Arial" w:hAnsi="Arial" w:cs="Arial"/>
          <w:b/>
          <w:u w:val="single"/>
        </w:rPr>
      </w:pPr>
      <w:r>
        <w:rPr>
          <w:rFonts w:ascii="Arial" w:hAnsi="Arial" w:cs="Arial"/>
          <w:b/>
          <w:u w:val="single"/>
        </w:rPr>
        <w:t>Enterprise Restructuring in Health Industry</w:t>
      </w:r>
    </w:p>
    <w:p w14:paraId="37D45DE8" w14:textId="77777777" w:rsidR="00566D20" w:rsidRDefault="00566D20" w:rsidP="00D42369">
      <w:pPr>
        <w:widowControl/>
        <w:tabs>
          <w:tab w:val="left" w:pos="2304"/>
        </w:tabs>
        <w:rPr>
          <w:rFonts w:ascii="Arial" w:hAnsi="Arial" w:cs="Arial"/>
          <w:b/>
        </w:rPr>
      </w:pPr>
    </w:p>
    <w:p w14:paraId="0D017B5E" w14:textId="77777777" w:rsidR="00566D20" w:rsidRDefault="00566D20" w:rsidP="00D42369">
      <w:pPr>
        <w:widowControl/>
        <w:tabs>
          <w:tab w:val="left" w:pos="2304"/>
        </w:tabs>
        <w:rPr>
          <w:rFonts w:ascii="Arial" w:hAnsi="Arial" w:cs="Arial"/>
          <w:b/>
        </w:rPr>
      </w:pPr>
    </w:p>
    <w:p w14:paraId="49C0C028" w14:textId="54F3497D" w:rsidR="00566D20" w:rsidRPr="00566D20" w:rsidRDefault="000B1A80" w:rsidP="00566D20">
      <w:pPr>
        <w:widowControl/>
        <w:tabs>
          <w:tab w:val="left" w:pos="2304"/>
        </w:tabs>
        <w:rPr>
          <w:rFonts w:ascii="Arial" w:hAnsi="Arial" w:cs="Arial"/>
          <w:b/>
        </w:rPr>
      </w:pPr>
      <w:r>
        <w:rPr>
          <w:rFonts w:ascii="Arial" w:hAnsi="Arial" w:cs="Arial"/>
          <w:b/>
        </w:rPr>
        <w:t>Anthony Beato</w:t>
      </w:r>
      <w:r w:rsidR="00566D20" w:rsidRPr="00566D20">
        <w:rPr>
          <w:rFonts w:ascii="Arial" w:hAnsi="Arial" w:cs="Arial"/>
          <w:b/>
        </w:rPr>
        <w:t xml:space="preserve">, </w:t>
      </w:r>
      <w:proofErr w:type="spellStart"/>
      <w:r>
        <w:rPr>
          <w:rFonts w:ascii="Arial" w:hAnsi="Arial" w:cs="Arial"/>
          <w:b/>
        </w:rPr>
        <w:t>Guidewell</w:t>
      </w:r>
      <w:proofErr w:type="spellEnd"/>
    </w:p>
    <w:p w14:paraId="4AD082A5" w14:textId="77777777" w:rsidR="00566D20" w:rsidRDefault="00566D20" w:rsidP="00566D20">
      <w:pPr>
        <w:widowControl/>
        <w:tabs>
          <w:tab w:val="left" w:pos="2304"/>
        </w:tabs>
        <w:rPr>
          <w:rFonts w:ascii="Arial" w:hAnsi="Arial" w:cs="Arial"/>
          <w:b/>
        </w:rPr>
      </w:pPr>
    </w:p>
    <w:p w14:paraId="3A02446B" w14:textId="6B880C22" w:rsidR="00566D20" w:rsidRPr="001626F9" w:rsidRDefault="000B1A80" w:rsidP="001626F9">
      <w:pPr>
        <w:widowControl/>
        <w:tabs>
          <w:tab w:val="left" w:pos="2304"/>
        </w:tabs>
        <w:ind w:left="720"/>
        <w:rPr>
          <w:rFonts w:ascii="Arial" w:hAnsi="Arial" w:cs="Arial"/>
          <w:bCs/>
        </w:rPr>
      </w:pPr>
      <w:r>
        <w:rPr>
          <w:rFonts w:ascii="Calibri" w:eastAsiaTheme="minorHAnsi" w:hAnsi="Calibri" w:cs="Calibri"/>
          <w:sz w:val="22"/>
          <w:szCs w:val="22"/>
        </w:rPr>
        <w:t>Anthony</w:t>
      </w:r>
      <w:r w:rsidR="001626F9">
        <w:rPr>
          <w:rFonts w:ascii="Calibri" w:eastAsiaTheme="minorHAnsi" w:hAnsi="Calibri" w:cs="Calibri"/>
          <w:sz w:val="22"/>
          <w:szCs w:val="22"/>
        </w:rPr>
        <w:t>.</w:t>
      </w:r>
    </w:p>
    <w:p w14:paraId="0542D6FF" w14:textId="77777777" w:rsidR="00566D20" w:rsidRDefault="00566D20" w:rsidP="00566D20">
      <w:pPr>
        <w:widowControl/>
        <w:tabs>
          <w:tab w:val="left" w:pos="2304"/>
        </w:tabs>
        <w:rPr>
          <w:rFonts w:ascii="Arial" w:hAnsi="Arial" w:cs="Arial"/>
          <w:b/>
        </w:rPr>
      </w:pPr>
    </w:p>
    <w:p w14:paraId="2C4BCEA9" w14:textId="77777777" w:rsidR="00566D20" w:rsidRDefault="00566D20" w:rsidP="00566D20">
      <w:pPr>
        <w:widowControl/>
        <w:tabs>
          <w:tab w:val="left" w:pos="2304"/>
        </w:tabs>
        <w:rPr>
          <w:rFonts w:ascii="Arial" w:hAnsi="Arial" w:cs="Arial"/>
          <w:b/>
        </w:rPr>
      </w:pPr>
    </w:p>
    <w:p w14:paraId="70A03987" w14:textId="77777777" w:rsidR="002F1B4E" w:rsidRPr="002F1B4E" w:rsidRDefault="002F1B4E" w:rsidP="002F1B4E">
      <w:pPr>
        <w:widowControl/>
        <w:rPr>
          <w:rFonts w:ascii="Arial" w:hAnsi="Arial" w:cs="Arial"/>
          <w:b/>
          <w:sz w:val="18"/>
          <w:szCs w:val="18"/>
          <w:u w:val="single"/>
        </w:rPr>
      </w:pPr>
    </w:p>
    <w:p w14:paraId="73A5B46A" w14:textId="77777777" w:rsidR="00170AF7" w:rsidRPr="00CE190E" w:rsidRDefault="00170AF7" w:rsidP="00170AF7">
      <w:pPr>
        <w:pStyle w:val="NormalWeb"/>
        <w:spacing w:before="0" w:beforeAutospacing="0" w:after="0" w:afterAutospacing="0"/>
        <w:jc w:val="both"/>
        <w:rPr>
          <w:rFonts w:ascii="Arial" w:hAnsi="Arial" w:cs="Arial"/>
          <w:b/>
          <w:bCs/>
          <w:sz w:val="20"/>
          <w:szCs w:val="20"/>
          <w:u w:val="single"/>
        </w:rPr>
      </w:pPr>
      <w:bookmarkStart w:id="2" w:name="_Hlk166654526"/>
      <w:r w:rsidRPr="00CE190E">
        <w:rPr>
          <w:rFonts w:ascii="Arial" w:eastAsia="Times New Roman" w:hAnsi="Arial" w:cs="Arial"/>
          <w:b/>
          <w:bCs/>
          <w:sz w:val="20"/>
          <w:szCs w:val="20"/>
          <w:u w:val="single"/>
        </w:rPr>
        <w:t>Generative AI for Insurance Automation </w:t>
      </w:r>
    </w:p>
    <w:bookmarkEnd w:id="2"/>
    <w:p w14:paraId="37073E2B" w14:textId="77777777" w:rsidR="00170AF7" w:rsidRPr="00CE190E" w:rsidRDefault="00170AF7" w:rsidP="00170AF7">
      <w:pPr>
        <w:pStyle w:val="NormalWeb"/>
        <w:spacing w:before="0" w:beforeAutospacing="0" w:after="0" w:afterAutospacing="0"/>
        <w:jc w:val="both"/>
        <w:rPr>
          <w:rFonts w:ascii="Arial" w:hAnsi="Arial" w:cs="Arial"/>
          <w:sz w:val="20"/>
          <w:szCs w:val="20"/>
        </w:rPr>
      </w:pPr>
    </w:p>
    <w:p w14:paraId="2BE8D49C" w14:textId="77777777" w:rsidR="00170AF7" w:rsidRPr="00CE190E" w:rsidRDefault="00170AF7" w:rsidP="00170AF7">
      <w:pPr>
        <w:widowControl/>
        <w:tabs>
          <w:tab w:val="left" w:pos="2304"/>
        </w:tabs>
        <w:rPr>
          <w:rFonts w:ascii="Arial" w:hAnsi="Arial" w:cs="Arial"/>
          <w:b/>
        </w:rPr>
      </w:pPr>
      <w:r w:rsidRPr="00CE190E">
        <w:rPr>
          <w:rFonts w:ascii="Arial" w:hAnsi="Arial" w:cs="Arial"/>
          <w:b/>
        </w:rPr>
        <w:t>David Moorhead</w:t>
      </w:r>
    </w:p>
    <w:p w14:paraId="1E31281C" w14:textId="77777777" w:rsidR="00170AF7" w:rsidRPr="00CE190E" w:rsidRDefault="00170AF7" w:rsidP="00170AF7">
      <w:pPr>
        <w:widowControl/>
        <w:tabs>
          <w:tab w:val="left" w:pos="2304"/>
        </w:tabs>
        <w:rPr>
          <w:rFonts w:ascii="Arial" w:hAnsi="Arial" w:cs="Arial"/>
          <w:b/>
        </w:rPr>
      </w:pPr>
    </w:p>
    <w:p w14:paraId="5EDC7FEE" w14:textId="77777777" w:rsidR="00170AF7" w:rsidRPr="00063B2A" w:rsidRDefault="00170AF7" w:rsidP="00170AF7">
      <w:pPr>
        <w:widowControl/>
        <w:tabs>
          <w:tab w:val="left" w:pos="2304"/>
        </w:tabs>
        <w:ind w:left="720"/>
        <w:rPr>
          <w:rFonts w:ascii="Arial" w:eastAsiaTheme="minorHAnsi" w:hAnsi="Arial" w:cs="Arial"/>
        </w:rPr>
      </w:pPr>
      <w:r w:rsidRPr="00063B2A">
        <w:rPr>
          <w:rFonts w:ascii="Arial" w:eastAsiaTheme="minorHAnsi" w:hAnsi="Arial" w:cs="Arial"/>
        </w:rPr>
        <w:t>David Moorhead has over 30 plus years of insurance technology experience focused on data and analytics across all personal and commercial lines of business. David has led numerous insurance data transformations with a focus on data management operating models, migration, legacy remediation, operational reporting and advanced analytics.</w:t>
      </w:r>
      <w:r>
        <w:rPr>
          <w:rFonts w:ascii="Arial" w:eastAsiaTheme="minorHAnsi" w:hAnsi="Arial" w:cs="Arial"/>
        </w:rPr>
        <w:t xml:space="preserve"> </w:t>
      </w:r>
      <w:r w:rsidRPr="00063B2A">
        <w:rPr>
          <w:rFonts w:ascii="Arial" w:eastAsiaTheme="minorHAnsi" w:hAnsi="Arial" w:cs="Arial"/>
        </w:rPr>
        <w:t>David is aligned to EY Insurance AI and Analytics practice and delivered numerous data management, data architecture, reporting and enterprise data warehouse solutions for all sizes of Property and Causality insurers and reinsurers.</w:t>
      </w:r>
    </w:p>
    <w:p w14:paraId="4C24AB6C" w14:textId="77777777" w:rsidR="00170AF7" w:rsidRDefault="00170AF7" w:rsidP="00170AF7">
      <w:pPr>
        <w:widowControl/>
        <w:tabs>
          <w:tab w:val="left" w:pos="2304"/>
        </w:tabs>
        <w:ind w:left="720"/>
        <w:rPr>
          <w:rFonts w:ascii="Arial" w:eastAsiaTheme="minorHAnsi" w:hAnsi="Arial" w:cs="Arial"/>
        </w:rPr>
      </w:pPr>
    </w:p>
    <w:p w14:paraId="35D11F88" w14:textId="77777777" w:rsidR="00170AF7" w:rsidRDefault="00170AF7" w:rsidP="00170AF7">
      <w:pPr>
        <w:widowControl/>
        <w:tabs>
          <w:tab w:val="left" w:pos="2304"/>
        </w:tabs>
        <w:ind w:left="720"/>
        <w:rPr>
          <w:rFonts w:ascii="Arial" w:eastAsiaTheme="minorHAnsi" w:hAnsi="Arial" w:cs="Arial"/>
        </w:rPr>
      </w:pPr>
      <w:r w:rsidRPr="00063B2A">
        <w:rPr>
          <w:rFonts w:ascii="Arial" w:eastAsiaTheme="minorHAnsi" w:hAnsi="Arial" w:cs="Arial"/>
        </w:rPr>
        <w:t xml:space="preserve">As an insurance leader, David develops P&amp;C specific assets on the Insurance Insights Platform.  Currently he is expanding insurance analytics use cases for GenAI, as well as extending </w:t>
      </w:r>
      <w:r>
        <w:rPr>
          <w:rFonts w:ascii="Arial" w:eastAsiaTheme="minorHAnsi" w:hAnsi="Arial" w:cs="Arial"/>
        </w:rPr>
        <w:t>EY’s</w:t>
      </w:r>
      <w:r w:rsidRPr="00063B2A">
        <w:rPr>
          <w:rFonts w:ascii="Arial" w:eastAsiaTheme="minorHAnsi" w:hAnsi="Arial" w:cs="Arial"/>
        </w:rPr>
        <w:t xml:space="preserve"> supporting Databricks and Snowflake offerings. </w:t>
      </w:r>
    </w:p>
    <w:p w14:paraId="3E3F24DB" w14:textId="77777777" w:rsidR="00170AF7" w:rsidRDefault="00170AF7" w:rsidP="00170AF7">
      <w:pPr>
        <w:widowControl/>
        <w:tabs>
          <w:tab w:val="left" w:pos="2304"/>
        </w:tabs>
        <w:ind w:left="720"/>
        <w:rPr>
          <w:rFonts w:ascii="Arial" w:eastAsiaTheme="minorHAnsi" w:hAnsi="Arial" w:cs="Arial"/>
        </w:rPr>
      </w:pPr>
    </w:p>
    <w:p w14:paraId="1BCC3743" w14:textId="77777777" w:rsidR="00170AF7" w:rsidRPr="00CE190E" w:rsidRDefault="00170AF7" w:rsidP="00170AF7">
      <w:pPr>
        <w:widowControl/>
        <w:tabs>
          <w:tab w:val="left" w:pos="2304"/>
        </w:tabs>
        <w:ind w:left="720"/>
        <w:rPr>
          <w:rFonts w:ascii="Arial" w:eastAsiaTheme="minorHAnsi" w:hAnsi="Arial" w:cs="Arial"/>
        </w:rPr>
      </w:pPr>
    </w:p>
    <w:p w14:paraId="32B38152" w14:textId="77777777" w:rsidR="00170AF7" w:rsidRPr="00CE190E" w:rsidRDefault="00170AF7" w:rsidP="00170AF7">
      <w:pPr>
        <w:widowControl/>
        <w:tabs>
          <w:tab w:val="left" w:pos="2304"/>
        </w:tabs>
        <w:ind w:left="720"/>
        <w:rPr>
          <w:rFonts w:ascii="Arial" w:eastAsiaTheme="minorHAnsi" w:hAnsi="Arial" w:cs="Arial"/>
        </w:rPr>
      </w:pPr>
    </w:p>
    <w:p w14:paraId="33A589BD" w14:textId="041768DA" w:rsidR="00566D20" w:rsidRPr="004F155D" w:rsidRDefault="004F155D" w:rsidP="00E0418D">
      <w:pPr>
        <w:widowControl/>
        <w:tabs>
          <w:tab w:val="left" w:pos="2304"/>
        </w:tabs>
        <w:rPr>
          <w:rFonts w:ascii="Arial" w:hAnsi="Arial" w:cs="Arial"/>
          <w:b/>
          <w:bCs/>
          <w:u w:val="single"/>
        </w:rPr>
      </w:pPr>
      <w:r w:rsidRPr="004F155D">
        <w:rPr>
          <w:rFonts w:ascii="Arial" w:hAnsi="Arial" w:cs="Arial"/>
          <w:b/>
          <w:bCs/>
          <w:color w:val="000000"/>
          <w:u w:val="single"/>
        </w:rPr>
        <w:t xml:space="preserve">Model Risk Management from the Bermuda (BMA) </w:t>
      </w:r>
      <w:r>
        <w:rPr>
          <w:rFonts w:ascii="Arial" w:hAnsi="Arial" w:cs="Arial"/>
          <w:b/>
          <w:bCs/>
          <w:color w:val="000000"/>
          <w:u w:val="single"/>
        </w:rPr>
        <w:t>P</w:t>
      </w:r>
      <w:r w:rsidRPr="004F155D">
        <w:rPr>
          <w:rFonts w:ascii="Arial" w:hAnsi="Arial" w:cs="Arial"/>
          <w:b/>
          <w:bCs/>
          <w:color w:val="000000"/>
          <w:u w:val="single"/>
        </w:rPr>
        <w:t>erspective</w:t>
      </w:r>
    </w:p>
    <w:p w14:paraId="0D142BB2" w14:textId="77777777" w:rsidR="00566D20" w:rsidRDefault="00566D20" w:rsidP="00E0418D">
      <w:pPr>
        <w:widowControl/>
        <w:tabs>
          <w:tab w:val="left" w:pos="2304"/>
        </w:tabs>
        <w:rPr>
          <w:rFonts w:ascii="Arial" w:hAnsi="Arial" w:cs="Arial"/>
          <w:b/>
        </w:rPr>
      </w:pPr>
    </w:p>
    <w:p w14:paraId="1DB682C4" w14:textId="69223B76" w:rsidR="00566D20" w:rsidRPr="00E4729A" w:rsidRDefault="000B1A80" w:rsidP="00566D20">
      <w:pPr>
        <w:widowControl/>
        <w:tabs>
          <w:tab w:val="left" w:pos="2304"/>
        </w:tabs>
        <w:rPr>
          <w:rFonts w:ascii="Arial" w:hAnsi="Arial" w:cs="Arial"/>
          <w:sz w:val="18"/>
          <w:szCs w:val="18"/>
        </w:rPr>
      </w:pPr>
      <w:r>
        <w:rPr>
          <w:rFonts w:ascii="Arial" w:hAnsi="Arial" w:cs="Arial"/>
          <w:b/>
        </w:rPr>
        <w:t>Alla Shved, Fortitude Re</w:t>
      </w:r>
    </w:p>
    <w:p w14:paraId="7DC35B5D" w14:textId="25D9C78D" w:rsidR="00E0418D" w:rsidRPr="009C4317" w:rsidRDefault="00E4729A" w:rsidP="00E0418D">
      <w:pPr>
        <w:widowControl/>
        <w:tabs>
          <w:tab w:val="left" w:pos="2304"/>
        </w:tabs>
        <w:ind w:left="720"/>
        <w:jc w:val="both"/>
        <w:rPr>
          <w:rFonts w:ascii="Arial" w:hAnsi="Arial" w:cs="Arial"/>
          <w:b/>
          <w:sz w:val="18"/>
          <w:szCs w:val="18"/>
        </w:rPr>
      </w:pPr>
      <w:r w:rsidRPr="00E4729A">
        <w:rPr>
          <w:rFonts w:ascii="Arial" w:hAnsi="Arial" w:cs="Arial"/>
          <w:sz w:val="18"/>
          <w:szCs w:val="18"/>
        </w:rPr>
        <w:t xml:space="preserve">  </w:t>
      </w:r>
    </w:p>
    <w:p w14:paraId="5F610C8B" w14:textId="77777777" w:rsidR="006B6421" w:rsidRPr="006B6421" w:rsidRDefault="006B6421" w:rsidP="006B6421">
      <w:pPr>
        <w:tabs>
          <w:tab w:val="left" w:pos="810"/>
        </w:tabs>
        <w:ind w:left="720"/>
        <w:rPr>
          <w:rFonts w:ascii="Arial" w:hAnsi="Arial" w:cs="Arial"/>
          <w:color w:val="000000"/>
        </w:rPr>
      </w:pPr>
      <w:r w:rsidRPr="006B6421">
        <w:rPr>
          <w:rFonts w:ascii="Arial" w:hAnsi="Arial" w:cs="Arial"/>
          <w:color w:val="000000"/>
        </w:rPr>
        <w:t xml:space="preserve">Alla is a Life and Annuity Risk Actuary at Fortitude Re. Prior to joining Fortitude Re in 2023, she worked at WTW for over a year focusing on the model build projects and over a decade at John </w:t>
      </w:r>
      <w:r w:rsidRPr="006B6421">
        <w:rPr>
          <w:rFonts w:ascii="Arial" w:hAnsi="Arial" w:cs="Arial"/>
          <w:color w:val="000000"/>
        </w:rPr>
        <w:lastRenderedPageBreak/>
        <w:t>Hancock/Manulife. Her diverse background spans first-, second- and third-line functions, including roles in actuarial audit, model risk management, variable annuity hedging, IFRS valuation and actuarial modeling. Since 2018, Alla has actively contributed to the SOA ERM exam writing and ERM grading committees, in addition to serving on various actuarial and student committees. Currently, she leads a senior actuarial project course at the University of North Carolina, Charlotte, where she shares her vast knowledge and experience with the next generation of actuaries.</w:t>
      </w:r>
    </w:p>
    <w:p w14:paraId="524E5CFB" w14:textId="111F506F" w:rsidR="00752ECD" w:rsidRDefault="00752ECD" w:rsidP="009B0C39">
      <w:pPr>
        <w:widowControl/>
        <w:ind w:left="720"/>
        <w:rPr>
          <w:rFonts w:ascii="Arial" w:hAnsi="Arial" w:cs="Arial"/>
          <w:b/>
          <w:u w:val="single"/>
        </w:rPr>
      </w:pPr>
    </w:p>
    <w:p w14:paraId="1B3983EB" w14:textId="77777777" w:rsidR="00752ECD" w:rsidRDefault="00752ECD" w:rsidP="00861D70">
      <w:pPr>
        <w:widowControl/>
        <w:rPr>
          <w:rFonts w:ascii="Arial" w:hAnsi="Arial" w:cs="Arial"/>
          <w:b/>
          <w:u w:val="single"/>
        </w:rPr>
      </w:pPr>
    </w:p>
    <w:p w14:paraId="000197BE" w14:textId="7550A699" w:rsidR="007E0BD8" w:rsidRPr="007E0BD8" w:rsidRDefault="007E0BD8" w:rsidP="007E0BD8">
      <w:pPr>
        <w:widowControl/>
        <w:tabs>
          <w:tab w:val="left" w:pos="2340"/>
        </w:tabs>
        <w:rPr>
          <w:rFonts w:ascii="Arial" w:hAnsi="Arial" w:cs="Arial"/>
          <w:b/>
          <w:iCs/>
          <w:u w:val="single"/>
        </w:rPr>
      </w:pPr>
      <w:r w:rsidRPr="007E0BD8">
        <w:rPr>
          <w:rFonts w:ascii="Arial" w:hAnsi="Arial" w:cs="Arial"/>
          <w:b/>
          <w:iCs/>
          <w:u w:val="single"/>
        </w:rPr>
        <w:t>There Goes the Neighborhood: A review of federal health coverage regulatory actions of 2023 and 2024</w:t>
      </w:r>
    </w:p>
    <w:p w14:paraId="791F230A" w14:textId="58270540" w:rsidR="00861D70" w:rsidRPr="007E0BD8" w:rsidRDefault="00861D70" w:rsidP="00861D70">
      <w:pPr>
        <w:widowControl/>
        <w:rPr>
          <w:rFonts w:ascii="Arial" w:hAnsi="Arial" w:cs="Arial"/>
          <w:b/>
          <w:iCs/>
          <w:u w:val="single"/>
        </w:rPr>
      </w:pPr>
    </w:p>
    <w:p w14:paraId="2782333E" w14:textId="77777777" w:rsidR="00566D20" w:rsidRDefault="00566D20" w:rsidP="00566D20">
      <w:pPr>
        <w:widowControl/>
        <w:tabs>
          <w:tab w:val="left" w:pos="2304"/>
        </w:tabs>
        <w:rPr>
          <w:rFonts w:ascii="Arial" w:hAnsi="Arial" w:cs="Arial"/>
          <w:b/>
        </w:rPr>
      </w:pPr>
    </w:p>
    <w:p w14:paraId="5F2431EE" w14:textId="4407E57A" w:rsidR="00566D20" w:rsidRDefault="007E0BD8" w:rsidP="00566D20">
      <w:pPr>
        <w:widowControl/>
        <w:tabs>
          <w:tab w:val="left" w:pos="2304"/>
        </w:tabs>
        <w:rPr>
          <w:rFonts w:ascii="Arial" w:hAnsi="Arial" w:cs="Arial"/>
          <w:b/>
        </w:rPr>
      </w:pPr>
      <w:r>
        <w:rPr>
          <w:rFonts w:ascii="Arial" w:hAnsi="Arial" w:cs="Arial"/>
          <w:b/>
        </w:rPr>
        <w:t>Jason Karcher</w:t>
      </w:r>
      <w:r w:rsidR="00566D20" w:rsidRPr="00566D20">
        <w:rPr>
          <w:rFonts w:ascii="Arial" w:hAnsi="Arial" w:cs="Arial"/>
          <w:b/>
        </w:rPr>
        <w:t>, M</w:t>
      </w:r>
      <w:r>
        <w:rPr>
          <w:rFonts w:ascii="Arial" w:hAnsi="Arial" w:cs="Arial"/>
          <w:b/>
        </w:rPr>
        <w:t>illiman</w:t>
      </w:r>
      <w:r w:rsidR="00566D20" w:rsidRPr="00566D20">
        <w:rPr>
          <w:rFonts w:ascii="Arial" w:hAnsi="Arial" w:cs="Arial"/>
          <w:b/>
        </w:rPr>
        <w:t xml:space="preserve"> </w:t>
      </w:r>
    </w:p>
    <w:p w14:paraId="6C237E1D" w14:textId="77777777" w:rsidR="00200E2B" w:rsidRPr="00D67C37" w:rsidRDefault="00200E2B" w:rsidP="00566D20">
      <w:pPr>
        <w:widowControl/>
        <w:tabs>
          <w:tab w:val="left" w:pos="2304"/>
        </w:tabs>
        <w:rPr>
          <w:rFonts w:ascii="Arial" w:hAnsi="Arial" w:cs="Arial"/>
          <w:sz w:val="18"/>
          <w:szCs w:val="18"/>
        </w:rPr>
      </w:pPr>
    </w:p>
    <w:p w14:paraId="4B6FC8D8" w14:textId="77777777" w:rsidR="00200E2B" w:rsidRPr="00200E2B" w:rsidRDefault="00200E2B" w:rsidP="00200E2B">
      <w:pPr>
        <w:ind w:left="720"/>
        <w:jc w:val="both"/>
        <w:rPr>
          <w:rFonts w:ascii="Arial" w:hAnsi="Arial" w:cs="Arial"/>
        </w:rPr>
      </w:pPr>
      <w:r w:rsidRPr="00200E2B">
        <w:rPr>
          <w:rFonts w:ascii="Arial" w:hAnsi="Arial" w:cs="Arial"/>
        </w:rPr>
        <w:t>Jason is an actuary and health policy consultant with Milliman and works with health plans, providers, state and federal regulators, and other stakeholders to understand the complex interplay of law and regulation on health markets. His areas of expertise include analysis of legislative and regulatory proposals, regulations affecting health coverage markets segments, and how various regulatory actions affect traditional actuarial tasks.</w:t>
      </w:r>
    </w:p>
    <w:p w14:paraId="0A9C5C51" w14:textId="5E8C9808" w:rsidR="003F18D4" w:rsidRPr="00D67C37" w:rsidRDefault="003F18D4" w:rsidP="00D67C37">
      <w:pPr>
        <w:pStyle w:val="NormalWeb"/>
        <w:spacing w:before="0" w:beforeAutospacing="0" w:after="0" w:afterAutospacing="0"/>
        <w:ind w:left="720"/>
        <w:jc w:val="both"/>
        <w:rPr>
          <w:rFonts w:ascii="Arial" w:hAnsi="Arial" w:cs="Arial"/>
          <w:sz w:val="18"/>
          <w:szCs w:val="18"/>
        </w:rPr>
      </w:pPr>
    </w:p>
    <w:p w14:paraId="5C8B17FD" w14:textId="76DE6542" w:rsidR="003F18D4" w:rsidRPr="00D67C37" w:rsidRDefault="003F18D4" w:rsidP="00F7143A">
      <w:pPr>
        <w:pStyle w:val="NormalWeb"/>
        <w:spacing w:before="0" w:beforeAutospacing="0" w:after="0" w:afterAutospacing="0"/>
        <w:ind w:left="720"/>
        <w:jc w:val="both"/>
        <w:rPr>
          <w:rFonts w:ascii="Arial" w:hAnsi="Arial" w:cs="Arial"/>
          <w:sz w:val="18"/>
          <w:szCs w:val="18"/>
        </w:rPr>
      </w:pPr>
    </w:p>
    <w:p w14:paraId="064AA817" w14:textId="144B69BF" w:rsidR="00861D70" w:rsidRPr="00423998" w:rsidRDefault="00861D70" w:rsidP="00D67C37">
      <w:pPr>
        <w:pStyle w:val="NormalWeb"/>
        <w:spacing w:before="0" w:beforeAutospacing="0" w:after="0" w:afterAutospacing="0"/>
        <w:jc w:val="both"/>
        <w:rPr>
          <w:rFonts w:ascii="Arial" w:hAnsi="Arial" w:cs="Arial"/>
          <w:sz w:val="18"/>
          <w:szCs w:val="18"/>
        </w:rPr>
      </w:pPr>
    </w:p>
    <w:sectPr w:rsidR="00861D70" w:rsidRPr="00423998" w:rsidSect="00B305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E035C2" w14:textId="77777777" w:rsidR="003D256C" w:rsidRDefault="003D256C" w:rsidP="00B30542">
      <w:r>
        <w:separator/>
      </w:r>
    </w:p>
  </w:endnote>
  <w:endnote w:type="continuationSeparator" w:id="0">
    <w:p w14:paraId="4780E560" w14:textId="77777777" w:rsidR="003D256C" w:rsidRDefault="003D256C" w:rsidP="00B3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917DD8" w14:textId="77777777" w:rsidR="003D256C" w:rsidRDefault="003D256C" w:rsidP="00B30542">
      <w:r>
        <w:separator/>
      </w:r>
    </w:p>
  </w:footnote>
  <w:footnote w:type="continuationSeparator" w:id="0">
    <w:p w14:paraId="1FA73F5A" w14:textId="77777777" w:rsidR="003D256C" w:rsidRDefault="003D256C" w:rsidP="00B30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552CD" w14:textId="4CDD5A6F" w:rsidR="00B30542" w:rsidRDefault="00B30542" w:rsidP="00B30542">
    <w:pPr>
      <w:widowControl/>
      <w:tabs>
        <w:tab w:val="left" w:pos="2304"/>
      </w:tabs>
      <w:rPr>
        <w:rFonts w:ascii="Arial" w:hAnsi="Arial" w:cs="Arial"/>
        <w:b/>
        <w:bCs/>
        <w:sz w:val="28"/>
        <w:szCs w:val="28"/>
      </w:rPr>
    </w:pPr>
    <w:r w:rsidRPr="00A81422">
      <w:rPr>
        <w:rFonts w:ascii="Arial" w:hAnsi="Arial" w:cs="Arial"/>
        <w:b/>
        <w:bCs/>
        <w:sz w:val="28"/>
        <w:szCs w:val="28"/>
      </w:rPr>
      <w:t>Southeastern Actuaries Conference</w:t>
    </w:r>
  </w:p>
  <w:p w14:paraId="3DC6659A" w14:textId="48518557" w:rsidR="00B30542" w:rsidRPr="00A81422" w:rsidRDefault="00B30542" w:rsidP="00B30542">
    <w:pPr>
      <w:widowControl/>
      <w:tabs>
        <w:tab w:val="left" w:pos="2304"/>
      </w:tabs>
      <w:rPr>
        <w:rFonts w:ascii="Arial" w:hAnsi="Arial" w:cs="Arial"/>
        <w:b/>
        <w:bCs/>
        <w:sz w:val="24"/>
        <w:szCs w:val="24"/>
      </w:rPr>
    </w:pPr>
    <w:r w:rsidRPr="00A81422">
      <w:rPr>
        <w:rFonts w:ascii="Arial" w:hAnsi="Arial" w:cs="Arial"/>
        <w:b/>
        <w:bCs/>
        <w:sz w:val="24"/>
        <w:szCs w:val="24"/>
      </w:rPr>
      <w:t>20</w:t>
    </w:r>
    <w:r w:rsidR="00AD7184">
      <w:rPr>
        <w:rFonts w:ascii="Arial" w:hAnsi="Arial" w:cs="Arial"/>
        <w:b/>
        <w:bCs/>
        <w:sz w:val="24"/>
        <w:szCs w:val="24"/>
      </w:rPr>
      <w:t>2</w:t>
    </w:r>
    <w:r w:rsidR="00EC323D">
      <w:rPr>
        <w:rFonts w:ascii="Arial" w:hAnsi="Arial" w:cs="Arial"/>
        <w:b/>
        <w:bCs/>
        <w:sz w:val="24"/>
        <w:szCs w:val="24"/>
      </w:rPr>
      <w:t>4</w:t>
    </w:r>
    <w:r w:rsidRPr="00A81422">
      <w:rPr>
        <w:rFonts w:ascii="Arial" w:hAnsi="Arial" w:cs="Arial"/>
        <w:b/>
        <w:bCs/>
        <w:sz w:val="24"/>
        <w:szCs w:val="24"/>
      </w:rPr>
      <w:t xml:space="preserve"> </w:t>
    </w:r>
    <w:r w:rsidR="00B03983">
      <w:rPr>
        <w:rFonts w:ascii="Arial" w:hAnsi="Arial" w:cs="Arial"/>
        <w:b/>
        <w:bCs/>
        <w:sz w:val="24"/>
        <w:szCs w:val="24"/>
      </w:rPr>
      <w:t>Spring</w:t>
    </w:r>
    <w:r w:rsidRPr="00A81422">
      <w:rPr>
        <w:rFonts w:ascii="Arial" w:hAnsi="Arial" w:cs="Arial"/>
        <w:b/>
        <w:bCs/>
        <w:sz w:val="24"/>
        <w:szCs w:val="24"/>
      </w:rPr>
      <w:t xml:space="preserve"> Meeting</w:t>
    </w:r>
  </w:p>
  <w:p w14:paraId="7F34AAB2" w14:textId="77777777" w:rsidR="00B30542" w:rsidRPr="00B30542" w:rsidRDefault="00B30542" w:rsidP="00B30542">
    <w:pPr>
      <w:widowControl/>
      <w:tabs>
        <w:tab w:val="left" w:pos="2304"/>
      </w:tabs>
      <w:rPr>
        <w:rFonts w:ascii="Arial" w:hAnsi="Arial" w:cs="Arial"/>
        <w:b/>
        <w:bCs/>
      </w:rPr>
    </w:pPr>
    <w:r w:rsidRPr="00B30542">
      <w:rPr>
        <w:rFonts w:ascii="Arial" w:hAnsi="Arial" w:cs="Arial"/>
        <w:b/>
        <w:bCs/>
      </w:rPr>
      <w:t>Speaker Bios</w:t>
    </w:r>
  </w:p>
  <w:p w14:paraId="22856221" w14:textId="77777777" w:rsidR="00B30542" w:rsidRPr="00B30542" w:rsidRDefault="00B30542">
    <w:pPr>
      <w:pStyle w:val="Header"/>
      <w:rPr>
        <w:rFonts w:ascii="Arial" w:hAnsi="Arial" w:cs="Arial"/>
      </w:rPr>
    </w:pPr>
  </w:p>
  <w:p w14:paraId="72126261" w14:textId="77777777" w:rsidR="00B30542" w:rsidRPr="00B30542" w:rsidRDefault="00B30542">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9354D"/>
    <w:multiLevelType w:val="hybridMultilevel"/>
    <w:tmpl w:val="052EFEAC"/>
    <w:lvl w:ilvl="0" w:tplc="04090001">
      <w:start w:val="1"/>
      <w:numFmt w:val="bullet"/>
      <w:lvlText w:val=""/>
      <w:lvlJc w:val="left"/>
      <w:pPr>
        <w:ind w:left="3024" w:hanging="360"/>
      </w:pPr>
      <w:rPr>
        <w:rFonts w:ascii="Symbol" w:hAnsi="Symbol" w:hint="default"/>
      </w:rPr>
    </w:lvl>
    <w:lvl w:ilvl="1" w:tplc="04090003">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1" w15:restartNumberingAfterBreak="0">
    <w:nsid w:val="0A85384E"/>
    <w:multiLevelType w:val="hybridMultilevel"/>
    <w:tmpl w:val="91702398"/>
    <w:lvl w:ilvl="0" w:tplc="04090001">
      <w:start w:val="1"/>
      <w:numFmt w:val="bullet"/>
      <w:lvlText w:val=""/>
      <w:lvlJc w:val="left"/>
      <w:pPr>
        <w:ind w:left="3024" w:hanging="360"/>
      </w:pPr>
      <w:rPr>
        <w:rFonts w:ascii="Symbol" w:hAnsi="Symbol" w:hint="default"/>
      </w:rPr>
    </w:lvl>
    <w:lvl w:ilvl="1" w:tplc="04090003">
      <w:start w:val="1"/>
      <w:numFmt w:val="bullet"/>
      <w:lvlText w:val="o"/>
      <w:lvlJc w:val="left"/>
      <w:pPr>
        <w:ind w:left="3744" w:hanging="360"/>
      </w:pPr>
      <w:rPr>
        <w:rFonts w:ascii="Courier New" w:hAnsi="Courier New" w:cs="Courier New" w:hint="default"/>
      </w:rPr>
    </w:lvl>
    <w:lvl w:ilvl="2" w:tplc="04090005">
      <w:start w:val="1"/>
      <w:numFmt w:val="bullet"/>
      <w:lvlText w:val=""/>
      <w:lvlJc w:val="left"/>
      <w:pPr>
        <w:ind w:left="4464" w:hanging="360"/>
      </w:pPr>
      <w:rPr>
        <w:rFonts w:ascii="Wingdings" w:hAnsi="Wingdings" w:hint="default"/>
      </w:rPr>
    </w:lvl>
    <w:lvl w:ilvl="3" w:tplc="04090001">
      <w:start w:val="1"/>
      <w:numFmt w:val="bullet"/>
      <w:lvlText w:val=""/>
      <w:lvlJc w:val="left"/>
      <w:pPr>
        <w:ind w:left="5184" w:hanging="360"/>
      </w:pPr>
      <w:rPr>
        <w:rFonts w:ascii="Symbol" w:hAnsi="Symbol" w:hint="default"/>
      </w:rPr>
    </w:lvl>
    <w:lvl w:ilvl="4" w:tplc="04090003">
      <w:start w:val="1"/>
      <w:numFmt w:val="bullet"/>
      <w:lvlText w:val="o"/>
      <w:lvlJc w:val="left"/>
      <w:pPr>
        <w:ind w:left="5904" w:hanging="360"/>
      </w:pPr>
      <w:rPr>
        <w:rFonts w:ascii="Courier New" w:hAnsi="Courier New" w:cs="Courier New" w:hint="default"/>
      </w:rPr>
    </w:lvl>
    <w:lvl w:ilvl="5" w:tplc="04090005">
      <w:start w:val="1"/>
      <w:numFmt w:val="bullet"/>
      <w:lvlText w:val=""/>
      <w:lvlJc w:val="left"/>
      <w:pPr>
        <w:ind w:left="6624" w:hanging="360"/>
      </w:pPr>
      <w:rPr>
        <w:rFonts w:ascii="Wingdings" w:hAnsi="Wingdings" w:hint="default"/>
      </w:rPr>
    </w:lvl>
    <w:lvl w:ilvl="6" w:tplc="04090001">
      <w:start w:val="1"/>
      <w:numFmt w:val="bullet"/>
      <w:lvlText w:val=""/>
      <w:lvlJc w:val="left"/>
      <w:pPr>
        <w:ind w:left="7344" w:hanging="360"/>
      </w:pPr>
      <w:rPr>
        <w:rFonts w:ascii="Symbol" w:hAnsi="Symbol" w:hint="default"/>
      </w:rPr>
    </w:lvl>
    <w:lvl w:ilvl="7" w:tplc="04090003">
      <w:start w:val="1"/>
      <w:numFmt w:val="bullet"/>
      <w:lvlText w:val="o"/>
      <w:lvlJc w:val="left"/>
      <w:pPr>
        <w:ind w:left="8064" w:hanging="360"/>
      </w:pPr>
      <w:rPr>
        <w:rFonts w:ascii="Courier New" w:hAnsi="Courier New" w:cs="Courier New" w:hint="default"/>
      </w:rPr>
    </w:lvl>
    <w:lvl w:ilvl="8" w:tplc="04090005">
      <w:start w:val="1"/>
      <w:numFmt w:val="bullet"/>
      <w:lvlText w:val=""/>
      <w:lvlJc w:val="left"/>
      <w:pPr>
        <w:ind w:left="8784" w:hanging="360"/>
      </w:pPr>
      <w:rPr>
        <w:rFonts w:ascii="Wingdings" w:hAnsi="Wingdings" w:hint="default"/>
      </w:rPr>
    </w:lvl>
  </w:abstractNum>
  <w:abstractNum w:abstractNumId="2" w15:restartNumberingAfterBreak="0">
    <w:nsid w:val="0DDC7510"/>
    <w:multiLevelType w:val="singleLevel"/>
    <w:tmpl w:val="DACA3846"/>
    <w:lvl w:ilvl="0">
      <w:start w:val="1"/>
      <w:numFmt w:val="bullet"/>
      <w:lvlText w:val=""/>
      <w:lvlJc w:val="left"/>
      <w:pPr>
        <w:tabs>
          <w:tab w:val="num" w:pos="360"/>
        </w:tabs>
        <w:ind w:left="0" w:firstLine="0"/>
      </w:pPr>
      <w:rPr>
        <w:rFonts w:ascii="Symbol" w:hAnsi="Symbol" w:hint="default"/>
      </w:rPr>
    </w:lvl>
  </w:abstractNum>
  <w:abstractNum w:abstractNumId="3" w15:restartNumberingAfterBreak="0">
    <w:nsid w:val="0E6F7C01"/>
    <w:multiLevelType w:val="singleLevel"/>
    <w:tmpl w:val="04090009"/>
    <w:lvl w:ilvl="0">
      <w:start w:val="1"/>
      <w:numFmt w:val="bullet"/>
      <w:lvlText w:val=""/>
      <w:lvlJc w:val="left"/>
      <w:pPr>
        <w:ind w:left="3240" w:hanging="360"/>
      </w:pPr>
      <w:rPr>
        <w:rFonts w:ascii="Wingdings" w:hAnsi="Wingdings" w:hint="default"/>
      </w:rPr>
    </w:lvl>
  </w:abstractNum>
  <w:abstractNum w:abstractNumId="4" w15:restartNumberingAfterBreak="0">
    <w:nsid w:val="43304A60"/>
    <w:multiLevelType w:val="hybridMultilevel"/>
    <w:tmpl w:val="17A8FFA8"/>
    <w:lvl w:ilvl="0" w:tplc="90685B86">
      <w:start w:val="1"/>
      <w:numFmt w:val="bullet"/>
      <w:lvlText w:val=""/>
      <w:lvlJc w:val="left"/>
      <w:pPr>
        <w:tabs>
          <w:tab w:val="num" w:pos="720"/>
        </w:tabs>
        <w:ind w:left="720" w:hanging="360"/>
      </w:pPr>
      <w:rPr>
        <w:rFonts w:ascii="Wingdings" w:hAnsi="Wingdings" w:hint="default"/>
      </w:rPr>
    </w:lvl>
    <w:lvl w:ilvl="1" w:tplc="8CCC17D8" w:tentative="1">
      <w:start w:val="1"/>
      <w:numFmt w:val="bullet"/>
      <w:lvlText w:val=""/>
      <w:lvlJc w:val="left"/>
      <w:pPr>
        <w:tabs>
          <w:tab w:val="num" w:pos="1440"/>
        </w:tabs>
        <w:ind w:left="1440" w:hanging="360"/>
      </w:pPr>
      <w:rPr>
        <w:rFonts w:ascii="Wingdings" w:hAnsi="Wingdings" w:hint="default"/>
      </w:rPr>
    </w:lvl>
    <w:lvl w:ilvl="2" w:tplc="33A220BA" w:tentative="1">
      <w:start w:val="1"/>
      <w:numFmt w:val="bullet"/>
      <w:lvlText w:val=""/>
      <w:lvlJc w:val="left"/>
      <w:pPr>
        <w:tabs>
          <w:tab w:val="num" w:pos="2160"/>
        </w:tabs>
        <w:ind w:left="2160" w:hanging="360"/>
      </w:pPr>
      <w:rPr>
        <w:rFonts w:ascii="Wingdings" w:hAnsi="Wingdings" w:hint="default"/>
      </w:rPr>
    </w:lvl>
    <w:lvl w:ilvl="3" w:tplc="D9AC41C2" w:tentative="1">
      <w:start w:val="1"/>
      <w:numFmt w:val="bullet"/>
      <w:lvlText w:val=""/>
      <w:lvlJc w:val="left"/>
      <w:pPr>
        <w:tabs>
          <w:tab w:val="num" w:pos="2880"/>
        </w:tabs>
        <w:ind w:left="2880" w:hanging="360"/>
      </w:pPr>
      <w:rPr>
        <w:rFonts w:ascii="Wingdings" w:hAnsi="Wingdings" w:hint="default"/>
      </w:rPr>
    </w:lvl>
    <w:lvl w:ilvl="4" w:tplc="251ABA10" w:tentative="1">
      <w:start w:val="1"/>
      <w:numFmt w:val="bullet"/>
      <w:lvlText w:val=""/>
      <w:lvlJc w:val="left"/>
      <w:pPr>
        <w:tabs>
          <w:tab w:val="num" w:pos="3600"/>
        </w:tabs>
        <w:ind w:left="3600" w:hanging="360"/>
      </w:pPr>
      <w:rPr>
        <w:rFonts w:ascii="Wingdings" w:hAnsi="Wingdings" w:hint="default"/>
      </w:rPr>
    </w:lvl>
    <w:lvl w:ilvl="5" w:tplc="8F6A6382" w:tentative="1">
      <w:start w:val="1"/>
      <w:numFmt w:val="bullet"/>
      <w:lvlText w:val=""/>
      <w:lvlJc w:val="left"/>
      <w:pPr>
        <w:tabs>
          <w:tab w:val="num" w:pos="4320"/>
        </w:tabs>
        <w:ind w:left="4320" w:hanging="360"/>
      </w:pPr>
      <w:rPr>
        <w:rFonts w:ascii="Wingdings" w:hAnsi="Wingdings" w:hint="default"/>
      </w:rPr>
    </w:lvl>
    <w:lvl w:ilvl="6" w:tplc="DF18380C" w:tentative="1">
      <w:start w:val="1"/>
      <w:numFmt w:val="bullet"/>
      <w:lvlText w:val=""/>
      <w:lvlJc w:val="left"/>
      <w:pPr>
        <w:tabs>
          <w:tab w:val="num" w:pos="5040"/>
        </w:tabs>
        <w:ind w:left="5040" w:hanging="360"/>
      </w:pPr>
      <w:rPr>
        <w:rFonts w:ascii="Wingdings" w:hAnsi="Wingdings" w:hint="default"/>
      </w:rPr>
    </w:lvl>
    <w:lvl w:ilvl="7" w:tplc="743CB880" w:tentative="1">
      <w:start w:val="1"/>
      <w:numFmt w:val="bullet"/>
      <w:lvlText w:val=""/>
      <w:lvlJc w:val="left"/>
      <w:pPr>
        <w:tabs>
          <w:tab w:val="num" w:pos="5760"/>
        </w:tabs>
        <w:ind w:left="5760" w:hanging="360"/>
      </w:pPr>
      <w:rPr>
        <w:rFonts w:ascii="Wingdings" w:hAnsi="Wingdings" w:hint="default"/>
      </w:rPr>
    </w:lvl>
    <w:lvl w:ilvl="8" w:tplc="A68E12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4116E4"/>
    <w:multiLevelType w:val="hybridMultilevel"/>
    <w:tmpl w:val="41885FCC"/>
    <w:lvl w:ilvl="0" w:tplc="03F664F4">
      <w:start w:val="1"/>
      <w:numFmt w:val="decimal"/>
      <w:lvlText w:val="%1."/>
      <w:lvlJc w:val="left"/>
      <w:pPr>
        <w:ind w:left="2660" w:hanging="360"/>
      </w:pPr>
      <w:rPr>
        <w:rFonts w:hint="default"/>
      </w:rPr>
    </w:lvl>
    <w:lvl w:ilvl="1" w:tplc="04090019" w:tentative="1">
      <w:start w:val="1"/>
      <w:numFmt w:val="lowerLetter"/>
      <w:lvlText w:val="%2."/>
      <w:lvlJc w:val="left"/>
      <w:pPr>
        <w:ind w:left="3380" w:hanging="360"/>
      </w:pPr>
    </w:lvl>
    <w:lvl w:ilvl="2" w:tplc="0409001B" w:tentative="1">
      <w:start w:val="1"/>
      <w:numFmt w:val="lowerRoman"/>
      <w:lvlText w:val="%3."/>
      <w:lvlJc w:val="right"/>
      <w:pPr>
        <w:ind w:left="4100" w:hanging="180"/>
      </w:pPr>
    </w:lvl>
    <w:lvl w:ilvl="3" w:tplc="0409000F" w:tentative="1">
      <w:start w:val="1"/>
      <w:numFmt w:val="decimal"/>
      <w:lvlText w:val="%4."/>
      <w:lvlJc w:val="left"/>
      <w:pPr>
        <w:ind w:left="4820" w:hanging="360"/>
      </w:pPr>
    </w:lvl>
    <w:lvl w:ilvl="4" w:tplc="04090019" w:tentative="1">
      <w:start w:val="1"/>
      <w:numFmt w:val="lowerLetter"/>
      <w:lvlText w:val="%5."/>
      <w:lvlJc w:val="left"/>
      <w:pPr>
        <w:ind w:left="5540" w:hanging="360"/>
      </w:pPr>
    </w:lvl>
    <w:lvl w:ilvl="5" w:tplc="0409001B" w:tentative="1">
      <w:start w:val="1"/>
      <w:numFmt w:val="lowerRoman"/>
      <w:lvlText w:val="%6."/>
      <w:lvlJc w:val="right"/>
      <w:pPr>
        <w:ind w:left="6260" w:hanging="180"/>
      </w:pPr>
    </w:lvl>
    <w:lvl w:ilvl="6" w:tplc="0409000F" w:tentative="1">
      <w:start w:val="1"/>
      <w:numFmt w:val="decimal"/>
      <w:lvlText w:val="%7."/>
      <w:lvlJc w:val="left"/>
      <w:pPr>
        <w:ind w:left="6980" w:hanging="360"/>
      </w:pPr>
    </w:lvl>
    <w:lvl w:ilvl="7" w:tplc="04090019" w:tentative="1">
      <w:start w:val="1"/>
      <w:numFmt w:val="lowerLetter"/>
      <w:lvlText w:val="%8."/>
      <w:lvlJc w:val="left"/>
      <w:pPr>
        <w:ind w:left="7700" w:hanging="360"/>
      </w:pPr>
    </w:lvl>
    <w:lvl w:ilvl="8" w:tplc="0409001B" w:tentative="1">
      <w:start w:val="1"/>
      <w:numFmt w:val="lowerRoman"/>
      <w:lvlText w:val="%9."/>
      <w:lvlJc w:val="right"/>
      <w:pPr>
        <w:ind w:left="8420" w:hanging="180"/>
      </w:pPr>
    </w:lvl>
  </w:abstractNum>
  <w:num w:numId="1" w16cid:durableId="546532742">
    <w:abstractNumId w:val="3"/>
  </w:num>
  <w:num w:numId="2" w16cid:durableId="1318151488">
    <w:abstractNumId w:val="2"/>
  </w:num>
  <w:num w:numId="3" w16cid:durableId="249431290">
    <w:abstractNumId w:val="1"/>
  </w:num>
  <w:num w:numId="4" w16cid:durableId="1157571934">
    <w:abstractNumId w:val="5"/>
  </w:num>
  <w:num w:numId="5" w16cid:durableId="489758004">
    <w:abstractNumId w:val="0"/>
  </w:num>
  <w:num w:numId="6" w16cid:durableId="4852452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73"/>
    <w:rsid w:val="000000A2"/>
    <w:rsid w:val="00002DDF"/>
    <w:rsid w:val="00007E19"/>
    <w:rsid w:val="00016CE4"/>
    <w:rsid w:val="000469C9"/>
    <w:rsid w:val="00053BB4"/>
    <w:rsid w:val="00055B68"/>
    <w:rsid w:val="00063B2A"/>
    <w:rsid w:val="00080A29"/>
    <w:rsid w:val="000A0B0B"/>
    <w:rsid w:val="000A4047"/>
    <w:rsid w:val="000A5C75"/>
    <w:rsid w:val="000A697E"/>
    <w:rsid w:val="000B1A80"/>
    <w:rsid w:val="000B6D8C"/>
    <w:rsid w:val="000E3731"/>
    <w:rsid w:val="000F428A"/>
    <w:rsid w:val="001134C3"/>
    <w:rsid w:val="00137F68"/>
    <w:rsid w:val="00146E2F"/>
    <w:rsid w:val="001626F9"/>
    <w:rsid w:val="00170AF7"/>
    <w:rsid w:val="001E0448"/>
    <w:rsid w:val="001F651D"/>
    <w:rsid w:val="001F676A"/>
    <w:rsid w:val="00200E2B"/>
    <w:rsid w:val="002218BC"/>
    <w:rsid w:val="00236C48"/>
    <w:rsid w:val="00252850"/>
    <w:rsid w:val="0025476C"/>
    <w:rsid w:val="0026460E"/>
    <w:rsid w:val="00285451"/>
    <w:rsid w:val="002923D0"/>
    <w:rsid w:val="002A0D29"/>
    <w:rsid w:val="002A1634"/>
    <w:rsid w:val="002B65BC"/>
    <w:rsid w:val="002F08CC"/>
    <w:rsid w:val="002F19EF"/>
    <w:rsid w:val="002F1B4E"/>
    <w:rsid w:val="002F4A02"/>
    <w:rsid w:val="003013E2"/>
    <w:rsid w:val="003137D3"/>
    <w:rsid w:val="00324710"/>
    <w:rsid w:val="00330AFA"/>
    <w:rsid w:val="00335A7B"/>
    <w:rsid w:val="00343805"/>
    <w:rsid w:val="00366110"/>
    <w:rsid w:val="00367512"/>
    <w:rsid w:val="003713CB"/>
    <w:rsid w:val="00384441"/>
    <w:rsid w:val="003921DC"/>
    <w:rsid w:val="003A33F0"/>
    <w:rsid w:val="003B2B32"/>
    <w:rsid w:val="003C31ED"/>
    <w:rsid w:val="003C4E9D"/>
    <w:rsid w:val="003D256C"/>
    <w:rsid w:val="003D43F4"/>
    <w:rsid w:val="003E009F"/>
    <w:rsid w:val="003F18D4"/>
    <w:rsid w:val="004144AF"/>
    <w:rsid w:val="004152E0"/>
    <w:rsid w:val="00423998"/>
    <w:rsid w:val="00423CFD"/>
    <w:rsid w:val="004503E7"/>
    <w:rsid w:val="004530C9"/>
    <w:rsid w:val="004709B4"/>
    <w:rsid w:val="00472738"/>
    <w:rsid w:val="00480BF3"/>
    <w:rsid w:val="004A06CF"/>
    <w:rsid w:val="004A56BD"/>
    <w:rsid w:val="004D270B"/>
    <w:rsid w:val="004D5AAB"/>
    <w:rsid w:val="004F155D"/>
    <w:rsid w:val="00504BD5"/>
    <w:rsid w:val="00505AFF"/>
    <w:rsid w:val="0050764B"/>
    <w:rsid w:val="00507FF3"/>
    <w:rsid w:val="00512410"/>
    <w:rsid w:val="00515CE7"/>
    <w:rsid w:val="00522593"/>
    <w:rsid w:val="0053047E"/>
    <w:rsid w:val="00530A30"/>
    <w:rsid w:val="00541906"/>
    <w:rsid w:val="0054665A"/>
    <w:rsid w:val="005540E5"/>
    <w:rsid w:val="00556BAB"/>
    <w:rsid w:val="005610BC"/>
    <w:rsid w:val="00566D20"/>
    <w:rsid w:val="00573F7A"/>
    <w:rsid w:val="005B3600"/>
    <w:rsid w:val="005C2B47"/>
    <w:rsid w:val="005D5307"/>
    <w:rsid w:val="005D698B"/>
    <w:rsid w:val="00621C6C"/>
    <w:rsid w:val="0063015D"/>
    <w:rsid w:val="00640E81"/>
    <w:rsid w:val="00675C2D"/>
    <w:rsid w:val="006B515E"/>
    <w:rsid w:val="006B6421"/>
    <w:rsid w:val="006C527F"/>
    <w:rsid w:val="006E06F9"/>
    <w:rsid w:val="006E4F0B"/>
    <w:rsid w:val="007060A5"/>
    <w:rsid w:val="00711369"/>
    <w:rsid w:val="00714EC9"/>
    <w:rsid w:val="007230AA"/>
    <w:rsid w:val="00740001"/>
    <w:rsid w:val="0074419D"/>
    <w:rsid w:val="00752ECD"/>
    <w:rsid w:val="0076396F"/>
    <w:rsid w:val="007654B2"/>
    <w:rsid w:val="00791F80"/>
    <w:rsid w:val="007A7C85"/>
    <w:rsid w:val="007D6DCB"/>
    <w:rsid w:val="007E0BD8"/>
    <w:rsid w:val="007F1692"/>
    <w:rsid w:val="00810736"/>
    <w:rsid w:val="00810FEF"/>
    <w:rsid w:val="00815035"/>
    <w:rsid w:val="00825EFB"/>
    <w:rsid w:val="008311AE"/>
    <w:rsid w:val="00831A27"/>
    <w:rsid w:val="00861D70"/>
    <w:rsid w:val="008642DC"/>
    <w:rsid w:val="00866C9E"/>
    <w:rsid w:val="00874102"/>
    <w:rsid w:val="00880853"/>
    <w:rsid w:val="00882B71"/>
    <w:rsid w:val="00891707"/>
    <w:rsid w:val="008A35F2"/>
    <w:rsid w:val="008E4011"/>
    <w:rsid w:val="008E6745"/>
    <w:rsid w:val="008F5B29"/>
    <w:rsid w:val="009078A7"/>
    <w:rsid w:val="00925135"/>
    <w:rsid w:val="00931127"/>
    <w:rsid w:val="00932894"/>
    <w:rsid w:val="009332E2"/>
    <w:rsid w:val="00933B61"/>
    <w:rsid w:val="00935B35"/>
    <w:rsid w:val="009428B1"/>
    <w:rsid w:val="009435B6"/>
    <w:rsid w:val="0094408D"/>
    <w:rsid w:val="0095369C"/>
    <w:rsid w:val="00977B04"/>
    <w:rsid w:val="00986FA6"/>
    <w:rsid w:val="009A3C75"/>
    <w:rsid w:val="009B0C39"/>
    <w:rsid w:val="009B60F1"/>
    <w:rsid w:val="009C4317"/>
    <w:rsid w:val="009D00E1"/>
    <w:rsid w:val="009D44D6"/>
    <w:rsid w:val="009F00FC"/>
    <w:rsid w:val="009F4731"/>
    <w:rsid w:val="00A201A2"/>
    <w:rsid w:val="00A22EC8"/>
    <w:rsid w:val="00A23138"/>
    <w:rsid w:val="00A73DF2"/>
    <w:rsid w:val="00A74C8D"/>
    <w:rsid w:val="00A81422"/>
    <w:rsid w:val="00A81F0B"/>
    <w:rsid w:val="00A905A7"/>
    <w:rsid w:val="00AA34A0"/>
    <w:rsid w:val="00AB55BB"/>
    <w:rsid w:val="00AC17D6"/>
    <w:rsid w:val="00AC50AA"/>
    <w:rsid w:val="00AD09B5"/>
    <w:rsid w:val="00AD60F6"/>
    <w:rsid w:val="00AD7184"/>
    <w:rsid w:val="00AE5192"/>
    <w:rsid w:val="00AF7704"/>
    <w:rsid w:val="00B02909"/>
    <w:rsid w:val="00B03983"/>
    <w:rsid w:val="00B123AB"/>
    <w:rsid w:val="00B167B2"/>
    <w:rsid w:val="00B179C2"/>
    <w:rsid w:val="00B30542"/>
    <w:rsid w:val="00B415A3"/>
    <w:rsid w:val="00B52B8F"/>
    <w:rsid w:val="00B52EEB"/>
    <w:rsid w:val="00B80874"/>
    <w:rsid w:val="00B931A9"/>
    <w:rsid w:val="00BA75BB"/>
    <w:rsid w:val="00BC5721"/>
    <w:rsid w:val="00BD522A"/>
    <w:rsid w:val="00BD6B6D"/>
    <w:rsid w:val="00BE4584"/>
    <w:rsid w:val="00C14C24"/>
    <w:rsid w:val="00C56020"/>
    <w:rsid w:val="00C56C59"/>
    <w:rsid w:val="00C71D5A"/>
    <w:rsid w:val="00C76157"/>
    <w:rsid w:val="00C86723"/>
    <w:rsid w:val="00C87325"/>
    <w:rsid w:val="00C87656"/>
    <w:rsid w:val="00C90901"/>
    <w:rsid w:val="00C90DE4"/>
    <w:rsid w:val="00C9245C"/>
    <w:rsid w:val="00C95552"/>
    <w:rsid w:val="00C96D70"/>
    <w:rsid w:val="00CA4288"/>
    <w:rsid w:val="00CB3A73"/>
    <w:rsid w:val="00CB5634"/>
    <w:rsid w:val="00CC3736"/>
    <w:rsid w:val="00CC6797"/>
    <w:rsid w:val="00CD6B33"/>
    <w:rsid w:val="00CE190E"/>
    <w:rsid w:val="00CE24C4"/>
    <w:rsid w:val="00CE3741"/>
    <w:rsid w:val="00CE4232"/>
    <w:rsid w:val="00D14FB6"/>
    <w:rsid w:val="00D42369"/>
    <w:rsid w:val="00D43905"/>
    <w:rsid w:val="00D50CEB"/>
    <w:rsid w:val="00D54846"/>
    <w:rsid w:val="00D67C37"/>
    <w:rsid w:val="00D72C53"/>
    <w:rsid w:val="00D95329"/>
    <w:rsid w:val="00DB7593"/>
    <w:rsid w:val="00DC55FE"/>
    <w:rsid w:val="00DD2F88"/>
    <w:rsid w:val="00DE3626"/>
    <w:rsid w:val="00DE4EEC"/>
    <w:rsid w:val="00DE6F1E"/>
    <w:rsid w:val="00DF4551"/>
    <w:rsid w:val="00DF6525"/>
    <w:rsid w:val="00DF7F52"/>
    <w:rsid w:val="00E00D20"/>
    <w:rsid w:val="00E01E61"/>
    <w:rsid w:val="00E03BB3"/>
    <w:rsid w:val="00E0418D"/>
    <w:rsid w:val="00E15885"/>
    <w:rsid w:val="00E4729A"/>
    <w:rsid w:val="00E71544"/>
    <w:rsid w:val="00E816B8"/>
    <w:rsid w:val="00E863EA"/>
    <w:rsid w:val="00E9306A"/>
    <w:rsid w:val="00EC323D"/>
    <w:rsid w:val="00EF5E83"/>
    <w:rsid w:val="00F11D90"/>
    <w:rsid w:val="00F23801"/>
    <w:rsid w:val="00F34B54"/>
    <w:rsid w:val="00F41EA7"/>
    <w:rsid w:val="00F46E14"/>
    <w:rsid w:val="00F7143A"/>
    <w:rsid w:val="00F75290"/>
    <w:rsid w:val="00F75444"/>
    <w:rsid w:val="00F76F91"/>
    <w:rsid w:val="00F90A02"/>
    <w:rsid w:val="00F93A90"/>
    <w:rsid w:val="00FA1EC1"/>
    <w:rsid w:val="00FA7650"/>
    <w:rsid w:val="00FB0282"/>
    <w:rsid w:val="00FB30EA"/>
    <w:rsid w:val="00FC2F9A"/>
    <w:rsid w:val="00FC5A6C"/>
    <w:rsid w:val="00FD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09CC"/>
  <w15:chartTrackingRefBased/>
  <w15:docId w15:val="{D0D11CF6-A54B-4D0C-AAE4-42381A3C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A73"/>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A73"/>
    <w:pPr>
      <w:ind w:left="720"/>
      <w:contextualSpacing/>
    </w:pPr>
  </w:style>
  <w:style w:type="character" w:styleId="Hyperlink">
    <w:name w:val="Hyperlink"/>
    <w:basedOn w:val="DefaultParagraphFont"/>
    <w:uiPriority w:val="99"/>
    <w:semiHidden/>
    <w:unhideWhenUsed/>
    <w:rsid w:val="00CB3A73"/>
    <w:rPr>
      <w:color w:val="5B5B5B"/>
      <w:u w:val="single"/>
    </w:rPr>
  </w:style>
  <w:style w:type="paragraph" w:styleId="NormalWeb">
    <w:name w:val="Normal (Web)"/>
    <w:basedOn w:val="Normal"/>
    <w:uiPriority w:val="99"/>
    <w:unhideWhenUsed/>
    <w:rsid w:val="00C90DE4"/>
    <w:pPr>
      <w:widowControl/>
      <w:spacing w:before="100" w:beforeAutospacing="1" w:after="100" w:afterAutospacing="1"/>
    </w:pPr>
    <w:rPr>
      <w:rFonts w:ascii="Calibri" w:eastAsiaTheme="minorHAnsi" w:hAnsi="Calibri" w:cs="Calibri"/>
      <w:sz w:val="22"/>
      <w:szCs w:val="22"/>
    </w:rPr>
  </w:style>
  <w:style w:type="paragraph" w:styleId="Header">
    <w:name w:val="header"/>
    <w:basedOn w:val="Normal"/>
    <w:link w:val="HeaderChar"/>
    <w:uiPriority w:val="99"/>
    <w:unhideWhenUsed/>
    <w:rsid w:val="00B30542"/>
    <w:pPr>
      <w:tabs>
        <w:tab w:val="center" w:pos="4680"/>
        <w:tab w:val="right" w:pos="9360"/>
      </w:tabs>
    </w:pPr>
  </w:style>
  <w:style w:type="character" w:customStyle="1" w:styleId="HeaderChar">
    <w:name w:val="Header Char"/>
    <w:basedOn w:val="DefaultParagraphFont"/>
    <w:link w:val="Header"/>
    <w:uiPriority w:val="99"/>
    <w:rsid w:val="00B305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30542"/>
    <w:pPr>
      <w:tabs>
        <w:tab w:val="center" w:pos="4680"/>
        <w:tab w:val="right" w:pos="9360"/>
      </w:tabs>
    </w:pPr>
  </w:style>
  <w:style w:type="character" w:customStyle="1" w:styleId="FooterChar">
    <w:name w:val="Footer Char"/>
    <w:basedOn w:val="DefaultParagraphFont"/>
    <w:link w:val="Footer"/>
    <w:uiPriority w:val="99"/>
    <w:rsid w:val="00B30542"/>
    <w:rPr>
      <w:rFonts w:ascii="Times New Roman" w:eastAsia="Times New Roman" w:hAnsi="Times New Roman" w:cs="Times New Roman"/>
      <w:sz w:val="20"/>
      <w:szCs w:val="20"/>
    </w:rPr>
  </w:style>
  <w:style w:type="paragraph" w:styleId="BodyText">
    <w:name w:val="Body Text"/>
    <w:link w:val="BodyTextChar"/>
    <w:semiHidden/>
    <w:unhideWhenUsed/>
    <w:qFormat/>
    <w:rsid w:val="00F34B54"/>
    <w:pPr>
      <w:spacing w:after="200" w:line="240" w:lineRule="auto"/>
    </w:pPr>
  </w:style>
  <w:style w:type="character" w:customStyle="1" w:styleId="BodyTextChar">
    <w:name w:val="Body Text Char"/>
    <w:basedOn w:val="DefaultParagraphFont"/>
    <w:link w:val="BodyText"/>
    <w:semiHidden/>
    <w:rsid w:val="00F34B54"/>
  </w:style>
  <w:style w:type="character" w:customStyle="1" w:styleId="lt-line-clampraw-line">
    <w:name w:val="lt-line-clamp__raw-line"/>
    <w:basedOn w:val="DefaultParagraphFont"/>
    <w:rsid w:val="00AA34A0"/>
  </w:style>
  <w:style w:type="paragraph" w:styleId="BalloonText">
    <w:name w:val="Balloon Text"/>
    <w:basedOn w:val="Normal"/>
    <w:link w:val="BalloonTextChar"/>
    <w:uiPriority w:val="99"/>
    <w:semiHidden/>
    <w:unhideWhenUsed/>
    <w:rsid w:val="009D00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0E1"/>
    <w:rPr>
      <w:rFonts w:ascii="Segoe UI" w:eastAsia="Times New Roman" w:hAnsi="Segoe UI" w:cs="Segoe UI"/>
      <w:sz w:val="18"/>
      <w:szCs w:val="18"/>
    </w:rPr>
  </w:style>
  <w:style w:type="paragraph" w:customStyle="1" w:styleId="xxmsonormal">
    <w:name w:val="x_x_msonormal"/>
    <w:basedOn w:val="Normal"/>
    <w:rsid w:val="00CE190E"/>
    <w:pPr>
      <w:widowControl/>
    </w:pPr>
    <w:rPr>
      <w:rFonts w:ascii="Calibri" w:eastAsiaTheme="minorHAnsi" w:hAnsi="Calibri" w:cs="Calibri"/>
      <w:sz w:val="22"/>
      <w:szCs w:val="22"/>
    </w:rPr>
  </w:style>
  <w:style w:type="paragraph" w:customStyle="1" w:styleId="BioText">
    <w:name w:val="+Bio Text"/>
    <w:basedOn w:val="Normal"/>
    <w:rsid w:val="004503E7"/>
    <w:pPr>
      <w:widowControl/>
      <w:autoSpaceDE w:val="0"/>
      <w:autoSpaceDN w:val="0"/>
      <w:adjustRightInd w:val="0"/>
      <w:spacing w:afterLines="100" w:line="276" w:lineRule="auto"/>
      <w:ind w:left="1656"/>
    </w:pPr>
    <w:rPr>
      <w:rFonts w:asciiTheme="minorHAnsi" w:hAnsiTheme="minorHAnsi"/>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647951">
      <w:bodyDiv w:val="1"/>
      <w:marLeft w:val="0"/>
      <w:marRight w:val="0"/>
      <w:marTop w:val="0"/>
      <w:marBottom w:val="0"/>
      <w:divBdr>
        <w:top w:val="none" w:sz="0" w:space="0" w:color="auto"/>
        <w:left w:val="none" w:sz="0" w:space="0" w:color="auto"/>
        <w:bottom w:val="none" w:sz="0" w:space="0" w:color="auto"/>
        <w:right w:val="none" w:sz="0" w:space="0" w:color="auto"/>
      </w:divBdr>
    </w:div>
    <w:div w:id="80562459">
      <w:bodyDiv w:val="1"/>
      <w:marLeft w:val="0"/>
      <w:marRight w:val="0"/>
      <w:marTop w:val="0"/>
      <w:marBottom w:val="0"/>
      <w:divBdr>
        <w:top w:val="none" w:sz="0" w:space="0" w:color="auto"/>
        <w:left w:val="none" w:sz="0" w:space="0" w:color="auto"/>
        <w:bottom w:val="none" w:sz="0" w:space="0" w:color="auto"/>
        <w:right w:val="none" w:sz="0" w:space="0" w:color="auto"/>
      </w:divBdr>
    </w:div>
    <w:div w:id="108356362">
      <w:bodyDiv w:val="1"/>
      <w:marLeft w:val="0"/>
      <w:marRight w:val="0"/>
      <w:marTop w:val="0"/>
      <w:marBottom w:val="0"/>
      <w:divBdr>
        <w:top w:val="none" w:sz="0" w:space="0" w:color="auto"/>
        <w:left w:val="none" w:sz="0" w:space="0" w:color="auto"/>
        <w:bottom w:val="none" w:sz="0" w:space="0" w:color="auto"/>
        <w:right w:val="none" w:sz="0" w:space="0" w:color="auto"/>
      </w:divBdr>
    </w:div>
    <w:div w:id="192890846">
      <w:bodyDiv w:val="1"/>
      <w:marLeft w:val="0"/>
      <w:marRight w:val="0"/>
      <w:marTop w:val="0"/>
      <w:marBottom w:val="0"/>
      <w:divBdr>
        <w:top w:val="none" w:sz="0" w:space="0" w:color="auto"/>
        <w:left w:val="none" w:sz="0" w:space="0" w:color="auto"/>
        <w:bottom w:val="none" w:sz="0" w:space="0" w:color="auto"/>
        <w:right w:val="none" w:sz="0" w:space="0" w:color="auto"/>
      </w:divBdr>
    </w:div>
    <w:div w:id="218828017">
      <w:bodyDiv w:val="1"/>
      <w:marLeft w:val="0"/>
      <w:marRight w:val="0"/>
      <w:marTop w:val="0"/>
      <w:marBottom w:val="0"/>
      <w:divBdr>
        <w:top w:val="none" w:sz="0" w:space="0" w:color="auto"/>
        <w:left w:val="none" w:sz="0" w:space="0" w:color="auto"/>
        <w:bottom w:val="none" w:sz="0" w:space="0" w:color="auto"/>
        <w:right w:val="none" w:sz="0" w:space="0" w:color="auto"/>
      </w:divBdr>
    </w:div>
    <w:div w:id="221983766">
      <w:bodyDiv w:val="1"/>
      <w:marLeft w:val="0"/>
      <w:marRight w:val="0"/>
      <w:marTop w:val="0"/>
      <w:marBottom w:val="0"/>
      <w:divBdr>
        <w:top w:val="none" w:sz="0" w:space="0" w:color="auto"/>
        <w:left w:val="none" w:sz="0" w:space="0" w:color="auto"/>
        <w:bottom w:val="none" w:sz="0" w:space="0" w:color="auto"/>
        <w:right w:val="none" w:sz="0" w:space="0" w:color="auto"/>
      </w:divBdr>
    </w:div>
    <w:div w:id="295139188">
      <w:bodyDiv w:val="1"/>
      <w:marLeft w:val="0"/>
      <w:marRight w:val="0"/>
      <w:marTop w:val="0"/>
      <w:marBottom w:val="0"/>
      <w:divBdr>
        <w:top w:val="none" w:sz="0" w:space="0" w:color="auto"/>
        <w:left w:val="none" w:sz="0" w:space="0" w:color="auto"/>
        <w:bottom w:val="none" w:sz="0" w:space="0" w:color="auto"/>
        <w:right w:val="none" w:sz="0" w:space="0" w:color="auto"/>
      </w:divBdr>
    </w:div>
    <w:div w:id="304284505">
      <w:bodyDiv w:val="1"/>
      <w:marLeft w:val="0"/>
      <w:marRight w:val="0"/>
      <w:marTop w:val="0"/>
      <w:marBottom w:val="0"/>
      <w:divBdr>
        <w:top w:val="none" w:sz="0" w:space="0" w:color="auto"/>
        <w:left w:val="none" w:sz="0" w:space="0" w:color="auto"/>
        <w:bottom w:val="none" w:sz="0" w:space="0" w:color="auto"/>
        <w:right w:val="none" w:sz="0" w:space="0" w:color="auto"/>
      </w:divBdr>
    </w:div>
    <w:div w:id="365175466">
      <w:bodyDiv w:val="1"/>
      <w:marLeft w:val="0"/>
      <w:marRight w:val="0"/>
      <w:marTop w:val="0"/>
      <w:marBottom w:val="0"/>
      <w:divBdr>
        <w:top w:val="none" w:sz="0" w:space="0" w:color="auto"/>
        <w:left w:val="none" w:sz="0" w:space="0" w:color="auto"/>
        <w:bottom w:val="none" w:sz="0" w:space="0" w:color="auto"/>
        <w:right w:val="none" w:sz="0" w:space="0" w:color="auto"/>
      </w:divBdr>
    </w:div>
    <w:div w:id="387270447">
      <w:bodyDiv w:val="1"/>
      <w:marLeft w:val="0"/>
      <w:marRight w:val="0"/>
      <w:marTop w:val="0"/>
      <w:marBottom w:val="0"/>
      <w:divBdr>
        <w:top w:val="none" w:sz="0" w:space="0" w:color="auto"/>
        <w:left w:val="none" w:sz="0" w:space="0" w:color="auto"/>
        <w:bottom w:val="none" w:sz="0" w:space="0" w:color="auto"/>
        <w:right w:val="none" w:sz="0" w:space="0" w:color="auto"/>
      </w:divBdr>
    </w:div>
    <w:div w:id="398485495">
      <w:bodyDiv w:val="1"/>
      <w:marLeft w:val="0"/>
      <w:marRight w:val="0"/>
      <w:marTop w:val="0"/>
      <w:marBottom w:val="0"/>
      <w:divBdr>
        <w:top w:val="none" w:sz="0" w:space="0" w:color="auto"/>
        <w:left w:val="none" w:sz="0" w:space="0" w:color="auto"/>
        <w:bottom w:val="none" w:sz="0" w:space="0" w:color="auto"/>
        <w:right w:val="none" w:sz="0" w:space="0" w:color="auto"/>
      </w:divBdr>
    </w:div>
    <w:div w:id="551380722">
      <w:bodyDiv w:val="1"/>
      <w:marLeft w:val="0"/>
      <w:marRight w:val="0"/>
      <w:marTop w:val="0"/>
      <w:marBottom w:val="0"/>
      <w:divBdr>
        <w:top w:val="none" w:sz="0" w:space="0" w:color="auto"/>
        <w:left w:val="none" w:sz="0" w:space="0" w:color="auto"/>
        <w:bottom w:val="none" w:sz="0" w:space="0" w:color="auto"/>
        <w:right w:val="none" w:sz="0" w:space="0" w:color="auto"/>
      </w:divBdr>
    </w:div>
    <w:div w:id="553396827">
      <w:bodyDiv w:val="1"/>
      <w:marLeft w:val="0"/>
      <w:marRight w:val="0"/>
      <w:marTop w:val="0"/>
      <w:marBottom w:val="0"/>
      <w:divBdr>
        <w:top w:val="none" w:sz="0" w:space="0" w:color="auto"/>
        <w:left w:val="none" w:sz="0" w:space="0" w:color="auto"/>
        <w:bottom w:val="none" w:sz="0" w:space="0" w:color="auto"/>
        <w:right w:val="none" w:sz="0" w:space="0" w:color="auto"/>
      </w:divBdr>
    </w:div>
    <w:div w:id="608926049">
      <w:bodyDiv w:val="1"/>
      <w:marLeft w:val="0"/>
      <w:marRight w:val="0"/>
      <w:marTop w:val="0"/>
      <w:marBottom w:val="0"/>
      <w:divBdr>
        <w:top w:val="none" w:sz="0" w:space="0" w:color="auto"/>
        <w:left w:val="none" w:sz="0" w:space="0" w:color="auto"/>
        <w:bottom w:val="none" w:sz="0" w:space="0" w:color="auto"/>
        <w:right w:val="none" w:sz="0" w:space="0" w:color="auto"/>
      </w:divBdr>
    </w:div>
    <w:div w:id="649016196">
      <w:bodyDiv w:val="1"/>
      <w:marLeft w:val="0"/>
      <w:marRight w:val="0"/>
      <w:marTop w:val="0"/>
      <w:marBottom w:val="0"/>
      <w:divBdr>
        <w:top w:val="none" w:sz="0" w:space="0" w:color="auto"/>
        <w:left w:val="none" w:sz="0" w:space="0" w:color="auto"/>
        <w:bottom w:val="none" w:sz="0" w:space="0" w:color="auto"/>
        <w:right w:val="none" w:sz="0" w:space="0" w:color="auto"/>
      </w:divBdr>
    </w:div>
    <w:div w:id="702512015">
      <w:bodyDiv w:val="1"/>
      <w:marLeft w:val="0"/>
      <w:marRight w:val="0"/>
      <w:marTop w:val="0"/>
      <w:marBottom w:val="0"/>
      <w:divBdr>
        <w:top w:val="none" w:sz="0" w:space="0" w:color="auto"/>
        <w:left w:val="none" w:sz="0" w:space="0" w:color="auto"/>
        <w:bottom w:val="none" w:sz="0" w:space="0" w:color="auto"/>
        <w:right w:val="none" w:sz="0" w:space="0" w:color="auto"/>
      </w:divBdr>
    </w:div>
    <w:div w:id="763185515">
      <w:bodyDiv w:val="1"/>
      <w:marLeft w:val="0"/>
      <w:marRight w:val="0"/>
      <w:marTop w:val="0"/>
      <w:marBottom w:val="0"/>
      <w:divBdr>
        <w:top w:val="none" w:sz="0" w:space="0" w:color="auto"/>
        <w:left w:val="none" w:sz="0" w:space="0" w:color="auto"/>
        <w:bottom w:val="none" w:sz="0" w:space="0" w:color="auto"/>
        <w:right w:val="none" w:sz="0" w:space="0" w:color="auto"/>
      </w:divBdr>
    </w:div>
    <w:div w:id="1036346352">
      <w:bodyDiv w:val="1"/>
      <w:marLeft w:val="0"/>
      <w:marRight w:val="0"/>
      <w:marTop w:val="0"/>
      <w:marBottom w:val="0"/>
      <w:divBdr>
        <w:top w:val="none" w:sz="0" w:space="0" w:color="auto"/>
        <w:left w:val="none" w:sz="0" w:space="0" w:color="auto"/>
        <w:bottom w:val="none" w:sz="0" w:space="0" w:color="auto"/>
        <w:right w:val="none" w:sz="0" w:space="0" w:color="auto"/>
      </w:divBdr>
    </w:div>
    <w:div w:id="1074932573">
      <w:bodyDiv w:val="1"/>
      <w:marLeft w:val="0"/>
      <w:marRight w:val="0"/>
      <w:marTop w:val="0"/>
      <w:marBottom w:val="0"/>
      <w:divBdr>
        <w:top w:val="none" w:sz="0" w:space="0" w:color="auto"/>
        <w:left w:val="none" w:sz="0" w:space="0" w:color="auto"/>
        <w:bottom w:val="none" w:sz="0" w:space="0" w:color="auto"/>
        <w:right w:val="none" w:sz="0" w:space="0" w:color="auto"/>
      </w:divBdr>
      <w:divsChild>
        <w:div w:id="1714771852">
          <w:marLeft w:val="360"/>
          <w:marRight w:val="0"/>
          <w:marTop w:val="400"/>
          <w:marBottom w:val="0"/>
          <w:divBdr>
            <w:top w:val="none" w:sz="0" w:space="0" w:color="auto"/>
            <w:left w:val="none" w:sz="0" w:space="0" w:color="auto"/>
            <w:bottom w:val="none" w:sz="0" w:space="0" w:color="auto"/>
            <w:right w:val="none" w:sz="0" w:space="0" w:color="auto"/>
          </w:divBdr>
        </w:div>
      </w:divsChild>
    </w:div>
    <w:div w:id="1202942914">
      <w:bodyDiv w:val="1"/>
      <w:marLeft w:val="0"/>
      <w:marRight w:val="0"/>
      <w:marTop w:val="0"/>
      <w:marBottom w:val="0"/>
      <w:divBdr>
        <w:top w:val="none" w:sz="0" w:space="0" w:color="auto"/>
        <w:left w:val="none" w:sz="0" w:space="0" w:color="auto"/>
        <w:bottom w:val="none" w:sz="0" w:space="0" w:color="auto"/>
        <w:right w:val="none" w:sz="0" w:space="0" w:color="auto"/>
      </w:divBdr>
      <w:divsChild>
        <w:div w:id="407852088">
          <w:marLeft w:val="360"/>
          <w:marRight w:val="0"/>
          <w:marTop w:val="0"/>
          <w:marBottom w:val="0"/>
          <w:divBdr>
            <w:top w:val="none" w:sz="0" w:space="0" w:color="auto"/>
            <w:left w:val="none" w:sz="0" w:space="0" w:color="auto"/>
            <w:bottom w:val="none" w:sz="0" w:space="0" w:color="auto"/>
            <w:right w:val="none" w:sz="0" w:space="0" w:color="auto"/>
          </w:divBdr>
        </w:div>
        <w:div w:id="359429211">
          <w:marLeft w:val="360"/>
          <w:marRight w:val="0"/>
          <w:marTop w:val="0"/>
          <w:marBottom w:val="0"/>
          <w:divBdr>
            <w:top w:val="none" w:sz="0" w:space="0" w:color="auto"/>
            <w:left w:val="none" w:sz="0" w:space="0" w:color="auto"/>
            <w:bottom w:val="none" w:sz="0" w:space="0" w:color="auto"/>
            <w:right w:val="none" w:sz="0" w:space="0" w:color="auto"/>
          </w:divBdr>
        </w:div>
        <w:div w:id="763888159">
          <w:marLeft w:val="360"/>
          <w:marRight w:val="0"/>
          <w:marTop w:val="0"/>
          <w:marBottom w:val="0"/>
          <w:divBdr>
            <w:top w:val="none" w:sz="0" w:space="0" w:color="auto"/>
            <w:left w:val="none" w:sz="0" w:space="0" w:color="auto"/>
            <w:bottom w:val="none" w:sz="0" w:space="0" w:color="auto"/>
            <w:right w:val="none" w:sz="0" w:space="0" w:color="auto"/>
          </w:divBdr>
        </w:div>
        <w:div w:id="1683387135">
          <w:marLeft w:val="360"/>
          <w:marRight w:val="0"/>
          <w:marTop w:val="0"/>
          <w:marBottom w:val="0"/>
          <w:divBdr>
            <w:top w:val="none" w:sz="0" w:space="0" w:color="auto"/>
            <w:left w:val="none" w:sz="0" w:space="0" w:color="auto"/>
            <w:bottom w:val="none" w:sz="0" w:space="0" w:color="auto"/>
            <w:right w:val="none" w:sz="0" w:space="0" w:color="auto"/>
          </w:divBdr>
        </w:div>
        <w:div w:id="2036807936">
          <w:marLeft w:val="360"/>
          <w:marRight w:val="0"/>
          <w:marTop w:val="0"/>
          <w:marBottom w:val="0"/>
          <w:divBdr>
            <w:top w:val="none" w:sz="0" w:space="0" w:color="auto"/>
            <w:left w:val="none" w:sz="0" w:space="0" w:color="auto"/>
            <w:bottom w:val="none" w:sz="0" w:space="0" w:color="auto"/>
            <w:right w:val="none" w:sz="0" w:space="0" w:color="auto"/>
          </w:divBdr>
        </w:div>
      </w:divsChild>
    </w:div>
    <w:div w:id="1251233002">
      <w:bodyDiv w:val="1"/>
      <w:marLeft w:val="0"/>
      <w:marRight w:val="0"/>
      <w:marTop w:val="0"/>
      <w:marBottom w:val="0"/>
      <w:divBdr>
        <w:top w:val="none" w:sz="0" w:space="0" w:color="auto"/>
        <w:left w:val="none" w:sz="0" w:space="0" w:color="auto"/>
        <w:bottom w:val="none" w:sz="0" w:space="0" w:color="auto"/>
        <w:right w:val="none" w:sz="0" w:space="0" w:color="auto"/>
      </w:divBdr>
    </w:div>
    <w:div w:id="1270702875">
      <w:bodyDiv w:val="1"/>
      <w:marLeft w:val="0"/>
      <w:marRight w:val="0"/>
      <w:marTop w:val="0"/>
      <w:marBottom w:val="0"/>
      <w:divBdr>
        <w:top w:val="none" w:sz="0" w:space="0" w:color="auto"/>
        <w:left w:val="none" w:sz="0" w:space="0" w:color="auto"/>
        <w:bottom w:val="none" w:sz="0" w:space="0" w:color="auto"/>
        <w:right w:val="none" w:sz="0" w:space="0" w:color="auto"/>
      </w:divBdr>
    </w:div>
    <w:div w:id="1428695410">
      <w:bodyDiv w:val="1"/>
      <w:marLeft w:val="0"/>
      <w:marRight w:val="0"/>
      <w:marTop w:val="0"/>
      <w:marBottom w:val="0"/>
      <w:divBdr>
        <w:top w:val="none" w:sz="0" w:space="0" w:color="auto"/>
        <w:left w:val="none" w:sz="0" w:space="0" w:color="auto"/>
        <w:bottom w:val="none" w:sz="0" w:space="0" w:color="auto"/>
        <w:right w:val="none" w:sz="0" w:space="0" w:color="auto"/>
      </w:divBdr>
    </w:div>
    <w:div w:id="1449735183">
      <w:bodyDiv w:val="1"/>
      <w:marLeft w:val="0"/>
      <w:marRight w:val="0"/>
      <w:marTop w:val="0"/>
      <w:marBottom w:val="0"/>
      <w:divBdr>
        <w:top w:val="none" w:sz="0" w:space="0" w:color="auto"/>
        <w:left w:val="none" w:sz="0" w:space="0" w:color="auto"/>
        <w:bottom w:val="none" w:sz="0" w:space="0" w:color="auto"/>
        <w:right w:val="none" w:sz="0" w:space="0" w:color="auto"/>
      </w:divBdr>
    </w:div>
    <w:div w:id="1473598229">
      <w:bodyDiv w:val="1"/>
      <w:marLeft w:val="0"/>
      <w:marRight w:val="0"/>
      <w:marTop w:val="0"/>
      <w:marBottom w:val="0"/>
      <w:divBdr>
        <w:top w:val="none" w:sz="0" w:space="0" w:color="auto"/>
        <w:left w:val="none" w:sz="0" w:space="0" w:color="auto"/>
        <w:bottom w:val="none" w:sz="0" w:space="0" w:color="auto"/>
        <w:right w:val="none" w:sz="0" w:space="0" w:color="auto"/>
      </w:divBdr>
    </w:div>
    <w:div w:id="1486161722">
      <w:bodyDiv w:val="1"/>
      <w:marLeft w:val="0"/>
      <w:marRight w:val="0"/>
      <w:marTop w:val="0"/>
      <w:marBottom w:val="0"/>
      <w:divBdr>
        <w:top w:val="none" w:sz="0" w:space="0" w:color="auto"/>
        <w:left w:val="none" w:sz="0" w:space="0" w:color="auto"/>
        <w:bottom w:val="none" w:sz="0" w:space="0" w:color="auto"/>
        <w:right w:val="none" w:sz="0" w:space="0" w:color="auto"/>
      </w:divBdr>
    </w:div>
    <w:div w:id="1556157403">
      <w:bodyDiv w:val="1"/>
      <w:marLeft w:val="0"/>
      <w:marRight w:val="0"/>
      <w:marTop w:val="0"/>
      <w:marBottom w:val="0"/>
      <w:divBdr>
        <w:top w:val="none" w:sz="0" w:space="0" w:color="auto"/>
        <w:left w:val="none" w:sz="0" w:space="0" w:color="auto"/>
        <w:bottom w:val="none" w:sz="0" w:space="0" w:color="auto"/>
        <w:right w:val="none" w:sz="0" w:space="0" w:color="auto"/>
      </w:divBdr>
    </w:div>
    <w:div w:id="1619406221">
      <w:bodyDiv w:val="1"/>
      <w:marLeft w:val="0"/>
      <w:marRight w:val="0"/>
      <w:marTop w:val="0"/>
      <w:marBottom w:val="0"/>
      <w:divBdr>
        <w:top w:val="none" w:sz="0" w:space="0" w:color="auto"/>
        <w:left w:val="none" w:sz="0" w:space="0" w:color="auto"/>
        <w:bottom w:val="none" w:sz="0" w:space="0" w:color="auto"/>
        <w:right w:val="none" w:sz="0" w:space="0" w:color="auto"/>
      </w:divBdr>
    </w:div>
    <w:div w:id="1646470069">
      <w:bodyDiv w:val="1"/>
      <w:marLeft w:val="0"/>
      <w:marRight w:val="0"/>
      <w:marTop w:val="0"/>
      <w:marBottom w:val="0"/>
      <w:divBdr>
        <w:top w:val="none" w:sz="0" w:space="0" w:color="auto"/>
        <w:left w:val="none" w:sz="0" w:space="0" w:color="auto"/>
        <w:bottom w:val="none" w:sz="0" w:space="0" w:color="auto"/>
        <w:right w:val="none" w:sz="0" w:space="0" w:color="auto"/>
      </w:divBdr>
    </w:div>
    <w:div w:id="1669479601">
      <w:bodyDiv w:val="1"/>
      <w:marLeft w:val="0"/>
      <w:marRight w:val="0"/>
      <w:marTop w:val="0"/>
      <w:marBottom w:val="0"/>
      <w:divBdr>
        <w:top w:val="none" w:sz="0" w:space="0" w:color="auto"/>
        <w:left w:val="none" w:sz="0" w:space="0" w:color="auto"/>
        <w:bottom w:val="none" w:sz="0" w:space="0" w:color="auto"/>
        <w:right w:val="none" w:sz="0" w:space="0" w:color="auto"/>
      </w:divBdr>
    </w:div>
    <w:div w:id="1687440708">
      <w:bodyDiv w:val="1"/>
      <w:marLeft w:val="0"/>
      <w:marRight w:val="0"/>
      <w:marTop w:val="0"/>
      <w:marBottom w:val="0"/>
      <w:divBdr>
        <w:top w:val="none" w:sz="0" w:space="0" w:color="auto"/>
        <w:left w:val="none" w:sz="0" w:space="0" w:color="auto"/>
        <w:bottom w:val="none" w:sz="0" w:space="0" w:color="auto"/>
        <w:right w:val="none" w:sz="0" w:space="0" w:color="auto"/>
      </w:divBdr>
    </w:div>
    <w:div w:id="1723018072">
      <w:bodyDiv w:val="1"/>
      <w:marLeft w:val="0"/>
      <w:marRight w:val="0"/>
      <w:marTop w:val="0"/>
      <w:marBottom w:val="0"/>
      <w:divBdr>
        <w:top w:val="none" w:sz="0" w:space="0" w:color="auto"/>
        <w:left w:val="none" w:sz="0" w:space="0" w:color="auto"/>
        <w:bottom w:val="none" w:sz="0" w:space="0" w:color="auto"/>
        <w:right w:val="none" w:sz="0" w:space="0" w:color="auto"/>
      </w:divBdr>
    </w:div>
    <w:div w:id="1882008910">
      <w:bodyDiv w:val="1"/>
      <w:marLeft w:val="0"/>
      <w:marRight w:val="0"/>
      <w:marTop w:val="0"/>
      <w:marBottom w:val="0"/>
      <w:divBdr>
        <w:top w:val="none" w:sz="0" w:space="0" w:color="auto"/>
        <w:left w:val="none" w:sz="0" w:space="0" w:color="auto"/>
        <w:bottom w:val="none" w:sz="0" w:space="0" w:color="auto"/>
        <w:right w:val="none" w:sz="0" w:space="0" w:color="auto"/>
      </w:divBdr>
    </w:div>
    <w:div w:id="1989359003">
      <w:bodyDiv w:val="1"/>
      <w:marLeft w:val="0"/>
      <w:marRight w:val="0"/>
      <w:marTop w:val="0"/>
      <w:marBottom w:val="0"/>
      <w:divBdr>
        <w:top w:val="none" w:sz="0" w:space="0" w:color="auto"/>
        <w:left w:val="none" w:sz="0" w:space="0" w:color="auto"/>
        <w:bottom w:val="none" w:sz="0" w:space="0" w:color="auto"/>
        <w:right w:val="none" w:sz="0" w:space="0" w:color="auto"/>
      </w:divBdr>
    </w:div>
    <w:div w:id="1996759568">
      <w:bodyDiv w:val="1"/>
      <w:marLeft w:val="0"/>
      <w:marRight w:val="0"/>
      <w:marTop w:val="0"/>
      <w:marBottom w:val="0"/>
      <w:divBdr>
        <w:top w:val="none" w:sz="0" w:space="0" w:color="auto"/>
        <w:left w:val="none" w:sz="0" w:space="0" w:color="auto"/>
        <w:bottom w:val="none" w:sz="0" w:space="0" w:color="auto"/>
        <w:right w:val="none" w:sz="0" w:space="0" w:color="auto"/>
      </w:divBdr>
    </w:div>
    <w:div w:id="210352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nkedin.com/in/nathanworr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5</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Woolford</dc:creator>
  <cp:keywords/>
  <dc:description/>
  <cp:lastModifiedBy>Mike Celichowski</cp:lastModifiedBy>
  <cp:revision>19</cp:revision>
  <cp:lastPrinted>2020-06-17T12:06:00Z</cp:lastPrinted>
  <dcterms:created xsi:type="dcterms:W3CDTF">2024-05-15T13:47:00Z</dcterms:created>
  <dcterms:modified xsi:type="dcterms:W3CDTF">2024-06-19T20:03:00Z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90649f-c8aa-4130-8645-07bcd7122ee5_Enabled">
    <vt:lpwstr>true</vt:lpwstr>
  </property>
  <property fmtid="{D5CDD505-2E9C-101B-9397-08002B2CF9AE}" pid="3" name="MSIP_Label_f790649f-c8aa-4130-8645-07bcd7122ee5_SetDate">
    <vt:lpwstr>2024-05-15T12:29:39Z</vt:lpwstr>
  </property>
  <property fmtid="{D5CDD505-2E9C-101B-9397-08002B2CF9AE}" pid="4" name="MSIP_Label_f790649f-c8aa-4130-8645-07bcd7122ee5_Method">
    <vt:lpwstr>Standard</vt:lpwstr>
  </property>
  <property fmtid="{D5CDD505-2E9C-101B-9397-08002B2CF9AE}" pid="5" name="MSIP_Label_f790649f-c8aa-4130-8645-07bcd7122ee5_Name">
    <vt:lpwstr>Class 2</vt:lpwstr>
  </property>
  <property fmtid="{D5CDD505-2E9C-101B-9397-08002B2CF9AE}" pid="6" name="MSIP_Label_f790649f-c8aa-4130-8645-07bcd7122ee5_SiteId">
    <vt:lpwstr>ff77233f-57c4-4863-b78a-fdacb60e99da</vt:lpwstr>
  </property>
  <property fmtid="{D5CDD505-2E9C-101B-9397-08002B2CF9AE}" pid="7" name="MSIP_Label_f790649f-c8aa-4130-8645-07bcd7122ee5_ActionId">
    <vt:lpwstr>5d2474fd-0b94-4447-b1c8-9d6d94108408</vt:lpwstr>
  </property>
  <property fmtid="{D5CDD505-2E9C-101B-9397-08002B2CF9AE}" pid="8" name="MSIP_Label_f790649f-c8aa-4130-8645-07bcd7122ee5_ContentBits">
    <vt:lpwstr>0</vt:lpwstr>
  </property>
</Properties>
</file>